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xml" ContentType="application/vnd.openxmlformats-officedocument.wordprocessingml.document.main+xml"/>
  <Override PartName="/word/footer1.xml" ContentType="application/vnd.openxmlformats-officedocument.wordprocessingml.footer+xml"/>
  <Override PartName="/word/styles.xml" ContentType="application/vnd.openxmlformats-officedocument.wordprocessingml.styles+xml"/>
  <Override PartName="/word/header1.xml" ContentType="application/vnd.openxmlformats-officedocument.wordprocessingml.header+xml"/>
  <Override PartName="/word/media/image1.png" ContentType="image/png"/>
  <Override PartName="/word/media/image2.jpeg" ContentType="image/jpeg"/>
  <Override PartName="/word/media/image3.png" ContentType="image/png"/>
  <Override PartName="/word/media/image4.wmf" ContentType="image/x-wmf"/>
  <Override PartName="/word/header2.xml" ContentType="application/vnd.openxmlformats-officedocument.wordprocessingml.header+xml"/>
  <Override PartName="/word/footnotes.xml" ContentType="application/vnd.openxmlformats-officedocument.wordprocessingml.footnotes+xml"/>
  <Override PartName="/word/footer2.xml" ContentType="application/vnd.openxmlformats-officedocument.wordprocessingml.footer+xml"/>
  <Override PartName="/word/numbering.xml" ContentType="application/vnd.openxmlformats-officedocument.wordprocessingml.numbering+xml"/>
  <Override PartName="/word/fontTable.xml" ContentType="application/vnd.openxmlformats-officedocument.wordprocessingml.fontTable+xml"/>
  <Override PartName="/word/settings.xml" ContentType="application/vnd.openxmlformats-officedocument.wordprocessingml.settings+xml"/>
  <Override PartName="/word/theme/theme1.xml" ContentType="application/vnd.openxmlformats-officedocument.theme+xml"/>
  <Override PartName="/word/_rels/footer1.xml.rels" ContentType="application/vnd.openxmlformats-package.relationships+xml"/>
  <Override PartName="/word/_rels/document.xml.rels" ContentType="application/vnd.openxmlformats-package.relationships+xml"/>
  <Override PartName="/word/_rels/header1.xml.rels" ContentType="application/vnd.openxmlformats-package.relationships+xml"/>
  <Override PartName="/word/_rels/header2.xml.rels" ContentType="application/vnd.openxmlformats-package.relationships+xml"/>
  <Override PartName="/word/_rels/footer2.xml.rels" ContentType="application/vnd.openxmlformats-package.relationships+xml"/>
  <Override PartName="/customXml/item1.xml" ContentType="application/xml"/>
  <Override PartName="/customXml/item2.xml" ContentType="application/xml"/>
  <Override PartName="/customXml/itemProps1.xml" ContentType="application/vnd.openxmlformats-officedocument.customXmlProperties+xml"/>
  <Override PartName="/customXml/item3.xml" ContentType="application/xml"/>
  <Override PartName="/customXml/itemProps2.xml" ContentType="application/vnd.openxmlformats-officedocument.customXmlProperties+xml"/>
  <Override PartName="/customXml/item4.xml" ContentType="application/xml"/>
  <Override PartName="/customXml/itemProps3.xml" ContentType="application/vnd.openxmlformats-officedocument.customXmlProperties+xml"/>
  <Override PartName="/customXml/itemProps4.xml" ContentType="application/vnd.openxmlformats-officedocument.customXmlProperties+xml"/>
  <Override PartName="/customXml/_rels/item1.xml.rels" ContentType="application/vnd.openxmlformats-package.relationships+xml"/>
  <Override PartName="/customXml/_rels/item2.xml.rels" ContentType="application/vnd.openxmlformats-package.relationships+xml"/>
  <Override PartName="/customXml/_rels/item3.xml.rels" ContentType="application/vnd.openxmlformats-package.relationships+xml"/>
  <Override PartName="/customXml/_rels/item4.xml.rels" ContentType="application/vnd.openxmlformats-package.relationship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body>
    <w:p>
      <w:pPr>
        <w:pStyle w:val="Normal"/>
        <w:widowControl/>
        <w:spacing w:lineRule="auto" w:line="259" w:before="0" w:after="160"/>
        <w:jc w:val="both"/>
        <w:rPr>
          <w:rFonts w:ascii="Titillium Web" w:hAnsi="Titillium Web" w:eastAsia="Aptos" w:cs="Times New Roman"/>
          <w:b/>
          <w:b/>
          <w:bCs/>
          <w:color w:val="0F243E" w:themeColor="text2" w:themeShade="80"/>
          <w:kern w:val="2"/>
        </w:rPr>
      </w:pPr>
      <w:r>
        <w:rPr>
          <w:rFonts w:eastAsia="Aptos" w:cs="Times New Roman" w:ascii="Titillium Web" w:hAnsi="Titillium Web"/>
          <w:b/>
          <w:bCs/>
          <w:color w:val="0F243E" w:themeColor="text2" w:themeShade="80"/>
          <w:kern w:val="2"/>
        </w:rPr>
        <mc:AlternateContent>
          <mc:Choice Requires="wps">
            <w:drawing>
              <wp:anchor behindDoc="0" distT="0" distB="0" distL="0" distR="0" simplePos="0" locked="0" layoutInCell="0" allowOverlap="1" relativeHeight="60" wp14:anchorId="474E1B0C">
                <wp:simplePos x="0" y="0"/>
                <wp:positionH relativeFrom="page">
                  <wp:posOffset>463550</wp:posOffset>
                </wp:positionH>
                <wp:positionV relativeFrom="page">
                  <wp:posOffset>1174750</wp:posOffset>
                </wp:positionV>
                <wp:extent cx="5607050" cy="1206500"/>
                <wp:effectExtent l="0" t="0" r="0" b="0"/>
                <wp:wrapNone/>
                <wp:docPr id="1" name="Casella di testo 1"/>
                <a:graphic xmlns:a="http://schemas.openxmlformats.org/drawingml/2006/main">
                  <a:graphicData uri="http://schemas.microsoft.com/office/word/2010/wordprocessingShape">
                    <wps:wsp>
                      <wps:cNvSpPr/>
                      <wps:spPr>
                        <a:xfrm>
                          <a:off x="0" y="0"/>
                          <a:ext cx="5607000" cy="1206360"/>
                        </a:xfrm>
                        <a:prstGeom prst="rect">
                          <a:avLst/>
                        </a:prstGeom>
                        <a:noFill/>
                        <a:ln w="6350">
                          <a:noFill/>
                        </a:ln>
                      </wps:spPr>
                      <wps:style>
                        <a:lnRef idx="0"/>
                        <a:fillRef idx="0"/>
                        <a:effectRef idx="0"/>
                        <a:fontRef idx="minor"/>
                      </wps:style>
                      <wps:txbx>
                        <w:txbxContent>
                          <w:p>
                            <w:pPr>
                              <w:pStyle w:val="CIMETROplusTitolo"/>
                              <w:rPr>
                                <w:sz w:val="30"/>
                                <w:szCs w:val="30"/>
                              </w:rPr>
                            </w:pPr>
                            <w:r>
                              <w:rPr>
                                <w:sz w:val="30"/>
                                <w:szCs w:val="30"/>
                              </w:rPr>
                              <w:t>REGGIO VALORE – CENTRO STORICO</w:t>
                            </w:r>
                          </w:p>
                          <w:p>
                            <w:pPr>
                              <w:pStyle w:val="CIMETROplusTitolo"/>
                              <w:rPr>
                                <w:sz w:val="30"/>
                                <w:szCs w:val="30"/>
                              </w:rPr>
                            </w:pPr>
                            <w:r>
                              <w:rPr>
                                <w:sz w:val="30"/>
                                <w:szCs w:val="30"/>
                              </w:rPr>
                              <w:t xml:space="preserve">RIQUALIFICAZIONE E VALORIZZAZIONE DEL CENTRO STORICO DI REGGIO CALABRIA. BANDO PER L’ASSEGNAZIONE DI CONTRIBUTI A FONDO PERDUTO ALLE MICRO E PICCOLE IMPRESE </w:t>
                            </w:r>
                          </w:p>
                        </w:txbxContent>
                      </wps:txbx>
                      <wps:bodyPr anchor="t">
                        <a:prstTxWarp prst="textNoShape"/>
                        <a:noAutofit/>
                      </wps:bodyPr>
                    </wps:wsp>
                  </a:graphicData>
                </a:graphic>
              </wp:anchor>
            </w:drawing>
          </mc:Choice>
          <mc:Fallback>
            <w:pict>
              <v:rect id="shape_0" ID="Casella di testo 1" path="m0,0l-2147483645,0l-2147483645,-2147483646l0,-2147483646xe" stroked="f" o:allowincell="f" style="position:absolute;margin-left:36.5pt;margin-top:92.5pt;width:441.45pt;height:94.95pt;mso-wrap-style:square;v-text-anchor:top;mso-position-horizontal-relative:page;mso-position-vertical-relative:page" wp14:anchorId="474E1B0C">
                <v:fill o:detectmouseclick="t" on="false"/>
                <v:stroke color="#3465a4" weight="6480" joinstyle="round" endcap="flat"/>
                <v:textbox>
                  <w:txbxContent>
                    <w:p>
                      <w:pPr>
                        <w:pStyle w:val="CIMETROplusTitolo"/>
                        <w:rPr>
                          <w:sz w:val="30"/>
                          <w:szCs w:val="30"/>
                        </w:rPr>
                      </w:pPr>
                      <w:r>
                        <w:rPr>
                          <w:sz w:val="30"/>
                          <w:szCs w:val="30"/>
                        </w:rPr>
                        <w:t>REGGIO VALORE – CENTRO STORICO</w:t>
                      </w:r>
                    </w:p>
                    <w:p>
                      <w:pPr>
                        <w:pStyle w:val="CIMETROplusTitolo"/>
                        <w:rPr>
                          <w:sz w:val="30"/>
                          <w:szCs w:val="30"/>
                        </w:rPr>
                      </w:pPr>
                      <w:r>
                        <w:rPr>
                          <w:sz w:val="30"/>
                          <w:szCs w:val="30"/>
                        </w:rPr>
                        <w:t xml:space="preserve">RIQUALIFICAZIONE E VALORIZZAZIONE DEL CENTRO STORICO DI REGGIO CALABRIA. BANDO PER L’ASSEGNAZIONE DI CONTRIBUTI A FONDO PERDUTO ALLE MICRO E PICCOLE IMPRESE </w:t>
                      </w:r>
                    </w:p>
                  </w:txbxContent>
                </v:textbox>
                <w10:wrap type="none"/>
              </v:rect>
            </w:pict>
          </mc:Fallback>
        </mc:AlternateContent>
        <mc:AlternateContent>
          <mc:Choice Requires="wps">
            <w:drawing>
              <wp:anchor behindDoc="0" distT="0" distB="6350" distL="0" distR="0" simplePos="0" locked="0" layoutInCell="0" allowOverlap="1" relativeHeight="62" wp14:anchorId="66C2FD68">
                <wp:simplePos x="0" y="0"/>
                <wp:positionH relativeFrom="page">
                  <wp:posOffset>463550</wp:posOffset>
                </wp:positionH>
                <wp:positionV relativeFrom="page">
                  <wp:posOffset>2432050</wp:posOffset>
                </wp:positionV>
                <wp:extent cx="5334000" cy="1422400"/>
                <wp:effectExtent l="0" t="0" r="0" b="6350"/>
                <wp:wrapNone/>
                <wp:docPr id="3" name="Casella di testo 1"/>
                <a:graphic xmlns:a="http://schemas.openxmlformats.org/drawingml/2006/main">
                  <a:graphicData uri="http://schemas.microsoft.com/office/word/2010/wordprocessingShape">
                    <wps:wsp>
                      <wps:cNvSpPr/>
                      <wps:spPr>
                        <a:xfrm>
                          <a:off x="0" y="0"/>
                          <a:ext cx="5334120" cy="1422360"/>
                        </a:xfrm>
                        <a:prstGeom prst="rect">
                          <a:avLst/>
                        </a:prstGeom>
                        <a:noFill/>
                        <a:ln w="6350">
                          <a:noFill/>
                        </a:ln>
                      </wps:spPr>
                      <wps:style>
                        <a:lnRef idx="0"/>
                        <a:fillRef idx="0"/>
                        <a:effectRef idx="0"/>
                        <a:fontRef idx="minor"/>
                      </wps:style>
                      <wps:txbx>
                        <w:txbxContent>
                          <w:p>
                            <w:pPr>
                              <w:pStyle w:val="CIMETROplusSottotitolo"/>
                              <w:rPr>
                                <w:rFonts w:ascii="Titillium Web" w:hAnsi="Titillium Web"/>
                                <w:szCs w:val="22"/>
                              </w:rPr>
                            </w:pPr>
                            <w:r>
                              <w:rPr>
                                <w:rFonts w:ascii="Titillium Web" w:hAnsi="Titillium Web"/>
                                <w:szCs w:val="22"/>
                              </w:rPr>
                              <w:t>PN Metro Plus e Città Medie Sud 2021-2027</w:t>
                            </w:r>
                          </w:p>
                          <w:p>
                            <w:pPr>
                              <w:pStyle w:val="CIMETROplusSottotitolo"/>
                              <w:rPr>
                                <w:rFonts w:ascii="Titillium Web" w:hAnsi="Titillium Web"/>
                                <w:b w:val="false"/>
                                <w:b w:val="false"/>
                                <w:sz w:val="22"/>
                                <w:szCs w:val="22"/>
                              </w:rPr>
                            </w:pPr>
                            <w:r>
                              <w:rPr>
                                <w:rFonts w:ascii="Titillium Web" w:hAnsi="Titillium Web"/>
                                <w:b w:val="false"/>
                                <w:sz w:val="22"/>
                                <w:szCs w:val="22"/>
                              </w:rPr>
                              <w:t>Priorità 1 – Un’Europa più competitiva e intelligente</w:t>
                            </w:r>
                          </w:p>
                          <w:p>
                            <w:pPr>
                              <w:pStyle w:val="CIMETROplusSottotitolo"/>
                              <w:rPr>
                                <w:rFonts w:ascii="Titillium Web" w:hAnsi="Titillium Web"/>
                                <w:b w:val="false"/>
                                <w:b w:val="false"/>
                                <w:sz w:val="22"/>
                                <w:szCs w:val="22"/>
                              </w:rPr>
                            </w:pPr>
                            <w:r>
                              <w:rPr>
                                <w:rFonts w:ascii="Titillium Web" w:hAnsi="Titillium Web"/>
                                <w:b w:val="false"/>
                                <w:sz w:val="22"/>
                                <w:szCs w:val="22"/>
                              </w:rPr>
                              <w:t>Azione 1.3.1 – Innovazione Urbana</w:t>
                            </w:r>
                          </w:p>
                          <w:p>
                            <w:pPr>
                              <w:pStyle w:val="CIMETROplusSottotitolo"/>
                              <w:rPr>
                                <w:rFonts w:ascii="Titillium Web" w:hAnsi="Titillium Web"/>
                                <w:b w:val="false"/>
                                <w:b w:val="false"/>
                                <w:sz w:val="22"/>
                                <w:szCs w:val="22"/>
                              </w:rPr>
                            </w:pPr>
                            <w:r>
                              <w:rPr>
                                <w:rFonts w:ascii="Titillium Web" w:hAnsi="Titillium Web"/>
                                <w:b w:val="false"/>
                                <w:sz w:val="22"/>
                                <w:szCs w:val="22"/>
                              </w:rPr>
                              <w:t>Intervento RC1.3.1.a - Sostegno alle startup e alle PMI</w:t>
                            </w:r>
                          </w:p>
                          <w:p>
                            <w:pPr>
                              <w:pStyle w:val="CIMETROplusSottotitolo"/>
                              <w:rPr>
                                <w:rFonts w:ascii="Titillium Web" w:hAnsi="Titillium Web"/>
                                <w:sz w:val="22"/>
                                <w:szCs w:val="22"/>
                              </w:rPr>
                            </w:pPr>
                            <w:r>
                              <w:rPr>
                                <w:rFonts w:ascii="Titillium Web" w:hAnsi="Titillium Web"/>
                                <w:sz w:val="22"/>
                                <w:szCs w:val="22"/>
                              </w:rPr>
                              <w:t>CUP H39E24000040006</w:t>
                            </w:r>
                          </w:p>
                          <w:p>
                            <w:pPr>
                              <w:pStyle w:val="CIMETROplusSottotitolo"/>
                              <w:rPr>
                                <w:rFonts w:ascii="Titillium Web" w:hAnsi="Titillium Web"/>
                                <w:sz w:val="22"/>
                                <w:szCs w:val="22"/>
                              </w:rPr>
                            </w:pPr>
                            <w:r>
                              <w:rPr/>
                            </w:r>
                          </w:p>
                        </w:txbxContent>
                      </wps:txbx>
                      <wps:bodyPr anchor="t">
                        <a:prstTxWarp prst="textNoShape"/>
                        <a:noAutofit/>
                      </wps:bodyPr>
                    </wps:wsp>
                  </a:graphicData>
                </a:graphic>
              </wp:anchor>
            </w:drawing>
          </mc:Choice>
          <mc:Fallback>
            <w:pict>
              <v:rect id="shape_0" ID="Casella di testo 1" path="m0,0l-2147483645,0l-2147483645,-2147483646l0,-2147483646xe" stroked="f" o:allowincell="f" style="position:absolute;margin-left:36.5pt;margin-top:191.5pt;width:419.95pt;height:111.95pt;mso-wrap-style:square;v-text-anchor:top;mso-position-horizontal-relative:page;mso-position-vertical-relative:page" wp14:anchorId="66C2FD68">
                <v:fill o:detectmouseclick="t" on="false"/>
                <v:stroke color="#3465a4" weight="6480" joinstyle="round" endcap="flat"/>
                <v:textbox>
                  <w:txbxContent>
                    <w:p>
                      <w:pPr>
                        <w:pStyle w:val="CIMETROplusSottotitolo"/>
                        <w:rPr>
                          <w:rFonts w:ascii="Titillium Web" w:hAnsi="Titillium Web"/>
                          <w:szCs w:val="22"/>
                        </w:rPr>
                      </w:pPr>
                      <w:r>
                        <w:rPr>
                          <w:rFonts w:ascii="Titillium Web" w:hAnsi="Titillium Web"/>
                          <w:szCs w:val="22"/>
                        </w:rPr>
                        <w:t>PN Metro Plus e Città Medie Sud 2021-2027</w:t>
                      </w:r>
                    </w:p>
                    <w:p>
                      <w:pPr>
                        <w:pStyle w:val="CIMETROplusSottotitolo"/>
                        <w:rPr>
                          <w:rFonts w:ascii="Titillium Web" w:hAnsi="Titillium Web"/>
                          <w:b w:val="false"/>
                          <w:b w:val="false"/>
                          <w:sz w:val="22"/>
                          <w:szCs w:val="22"/>
                        </w:rPr>
                      </w:pPr>
                      <w:r>
                        <w:rPr>
                          <w:rFonts w:ascii="Titillium Web" w:hAnsi="Titillium Web"/>
                          <w:b w:val="false"/>
                          <w:sz w:val="22"/>
                          <w:szCs w:val="22"/>
                        </w:rPr>
                        <w:t>Priorità 1 – Un’Europa più competitiva e intelligente</w:t>
                      </w:r>
                    </w:p>
                    <w:p>
                      <w:pPr>
                        <w:pStyle w:val="CIMETROplusSottotitolo"/>
                        <w:rPr>
                          <w:rFonts w:ascii="Titillium Web" w:hAnsi="Titillium Web"/>
                          <w:b w:val="false"/>
                          <w:b w:val="false"/>
                          <w:sz w:val="22"/>
                          <w:szCs w:val="22"/>
                        </w:rPr>
                      </w:pPr>
                      <w:r>
                        <w:rPr>
                          <w:rFonts w:ascii="Titillium Web" w:hAnsi="Titillium Web"/>
                          <w:b w:val="false"/>
                          <w:sz w:val="22"/>
                          <w:szCs w:val="22"/>
                        </w:rPr>
                        <w:t>Azione 1.3.1 – Innovazione Urbana</w:t>
                      </w:r>
                    </w:p>
                    <w:p>
                      <w:pPr>
                        <w:pStyle w:val="CIMETROplusSottotitolo"/>
                        <w:rPr>
                          <w:rFonts w:ascii="Titillium Web" w:hAnsi="Titillium Web"/>
                          <w:b w:val="false"/>
                          <w:b w:val="false"/>
                          <w:sz w:val="22"/>
                          <w:szCs w:val="22"/>
                        </w:rPr>
                      </w:pPr>
                      <w:r>
                        <w:rPr>
                          <w:rFonts w:ascii="Titillium Web" w:hAnsi="Titillium Web"/>
                          <w:b w:val="false"/>
                          <w:sz w:val="22"/>
                          <w:szCs w:val="22"/>
                        </w:rPr>
                        <w:t>Intervento RC1.3.1.a - Sostegno alle startup e alle PMI</w:t>
                      </w:r>
                    </w:p>
                    <w:p>
                      <w:pPr>
                        <w:pStyle w:val="CIMETROplusSottotitolo"/>
                        <w:rPr>
                          <w:rFonts w:ascii="Titillium Web" w:hAnsi="Titillium Web"/>
                          <w:sz w:val="22"/>
                          <w:szCs w:val="22"/>
                        </w:rPr>
                      </w:pPr>
                      <w:r>
                        <w:rPr>
                          <w:rFonts w:ascii="Titillium Web" w:hAnsi="Titillium Web"/>
                          <w:sz w:val="22"/>
                          <w:szCs w:val="22"/>
                        </w:rPr>
                        <w:t>CUP H39E24000040006</w:t>
                      </w:r>
                    </w:p>
                    <w:p>
                      <w:pPr>
                        <w:pStyle w:val="CIMETROplusSottotitolo"/>
                        <w:rPr>
                          <w:rFonts w:ascii="Titillium Web" w:hAnsi="Titillium Web"/>
                          <w:sz w:val="22"/>
                          <w:szCs w:val="22"/>
                        </w:rPr>
                      </w:pPr>
                      <w:r>
                        <w:rPr/>
                      </w:r>
                    </w:p>
                  </w:txbxContent>
                </v:textbox>
                <w10:wrap type="none"/>
              </v:rect>
            </w:pict>
          </mc:Fallback>
        </mc:AlternateContent>
      </w:r>
    </w:p>
    <w:p>
      <w:pPr>
        <w:pStyle w:val="Normal"/>
        <w:rPr>
          <w:rFonts w:ascii="Titillium Web" w:hAnsi="Titillium Web" w:eastAsia="Aptos" w:cs="Times New Roman"/>
          <w:b/>
          <w:b/>
          <w:bCs/>
          <w:color w:val="0F243E" w:themeColor="text2" w:themeShade="80"/>
          <w:kern w:val="2"/>
        </w:rPr>
      </w:pPr>
      <w:r>
        <w:rPr>
          <w:rFonts w:eastAsia="Aptos" w:cs="Times New Roman" w:ascii="Titillium Web" w:hAnsi="Titillium Web"/>
          <w:b/>
          <w:bCs/>
          <w:color w:val="0F243E" w:themeColor="text2" w:themeShade="80"/>
          <w:kern w:val="2"/>
        </w:rPr>
      </w:r>
    </w:p>
    <w:p>
      <w:pPr>
        <w:pStyle w:val="Normal"/>
        <w:rPr>
          <w:rFonts w:ascii="Titillium Web" w:hAnsi="Titillium Web" w:eastAsia="Aptos" w:cs="Times New Roman"/>
          <w:b/>
          <w:b/>
          <w:bCs/>
          <w:color w:val="0F243E" w:themeColor="text2" w:themeShade="80"/>
          <w:kern w:val="2"/>
        </w:rPr>
      </w:pPr>
      <w:r>
        <w:rPr>
          <w:rFonts w:eastAsia="Aptos" w:cs="Times New Roman" w:ascii="Titillium Web" w:hAnsi="Titillium Web"/>
          <w:b/>
          <w:bCs/>
          <w:color w:val="0F243E" w:themeColor="text2" w:themeShade="80"/>
          <w:kern w:val="2"/>
        </w:rPr>
      </w:r>
    </w:p>
    <w:p>
      <w:pPr>
        <w:pStyle w:val="Normal"/>
        <w:rPr>
          <w:rFonts w:ascii="Titillium Web" w:hAnsi="Titillium Web" w:eastAsia="Aptos" w:cs="Times New Roman"/>
          <w:b/>
          <w:b/>
          <w:bCs/>
          <w:color w:val="0F243E" w:themeColor="text2" w:themeShade="80"/>
          <w:kern w:val="2"/>
        </w:rPr>
      </w:pPr>
      <w:r>
        <w:rPr>
          <w:rFonts w:eastAsia="Aptos" w:cs="Times New Roman" w:ascii="Titillium Web" w:hAnsi="Titillium Web"/>
          <w:b/>
          <w:bCs/>
          <w:color w:val="0F243E" w:themeColor="text2" w:themeShade="80"/>
          <w:kern w:val="2"/>
        </w:rPr>
      </w:r>
    </w:p>
    <w:p>
      <w:pPr>
        <w:pStyle w:val="Normal"/>
        <w:rPr>
          <w:rFonts w:ascii="Titillium Web" w:hAnsi="Titillium Web" w:eastAsia="Aptos" w:cs="Times New Roman"/>
          <w:b/>
          <w:b/>
          <w:bCs/>
          <w:color w:val="0F243E" w:themeColor="text2" w:themeShade="80"/>
          <w:kern w:val="2"/>
        </w:rPr>
      </w:pPr>
      <w:r>
        <w:rPr>
          <w:rFonts w:eastAsia="Aptos" w:cs="Times New Roman" w:ascii="Titillium Web" w:hAnsi="Titillium Web"/>
          <w:b/>
          <w:bCs/>
          <w:color w:val="0F243E" w:themeColor="text2" w:themeShade="80"/>
          <w:kern w:val="2"/>
        </w:rPr>
      </w:r>
    </w:p>
    <w:p>
      <w:pPr>
        <w:pStyle w:val="Normal"/>
        <w:rPr>
          <w:rFonts w:ascii="Titillium Web" w:hAnsi="Titillium Web" w:eastAsia="Aptos" w:cs="Times New Roman"/>
          <w:b/>
          <w:b/>
          <w:bCs/>
          <w:color w:val="0F243E" w:themeColor="text2" w:themeShade="80"/>
          <w:kern w:val="2"/>
        </w:rPr>
      </w:pPr>
      <w:r>
        <w:rPr>
          <w:rFonts w:eastAsia="Aptos" w:cs="Times New Roman" w:ascii="Titillium Web" w:hAnsi="Titillium Web"/>
          <w:b/>
          <w:bCs/>
          <w:color w:val="0F243E" w:themeColor="text2" w:themeShade="80"/>
          <w:kern w:val="2"/>
        </w:rPr>
      </w:r>
    </w:p>
    <w:p>
      <w:pPr>
        <w:pStyle w:val="Normal"/>
        <w:jc w:val="center"/>
        <w:rPr>
          <w:rFonts w:ascii="Titillium Web" w:hAnsi="Titillium Web" w:eastAsia="Aptos" w:cs="Times New Roman"/>
          <w:bCs/>
          <w:color w:val="C00000"/>
          <w:kern w:val="2"/>
          <w:sz w:val="44"/>
        </w:rPr>
      </w:pPr>
      <w:r>
        <w:rPr>
          <w:rFonts w:eastAsia="Aptos" w:cs="Times New Roman" w:ascii="Titillium Web" w:hAnsi="Titillium Web"/>
          <w:bCs/>
          <w:color w:val="C00000"/>
          <w:kern w:val="2"/>
          <w:sz w:val="44"/>
        </w:rPr>
      </w:r>
    </w:p>
    <w:p>
      <w:pPr>
        <w:pStyle w:val="Normal"/>
        <w:rPr>
          <w:rFonts w:ascii="Titillium Web" w:hAnsi="Titillium Web" w:eastAsia="Aptos" w:cs="Times New Roman"/>
          <w:b/>
          <w:b/>
          <w:bCs/>
          <w:color w:val="0F243E" w:themeColor="text2" w:themeShade="80"/>
          <w:kern w:val="2"/>
        </w:rPr>
      </w:pPr>
      <w:r>
        <w:rPr>
          <w:rFonts w:eastAsia="Aptos" w:cs="Times New Roman" w:ascii="Titillium Web" w:hAnsi="Titillium Web"/>
          <w:b/>
          <w:bCs/>
          <w:color w:val="0F243E" w:themeColor="text2" w:themeShade="80"/>
          <w:kern w:val="2"/>
        </w:rPr>
      </w:r>
    </w:p>
    <w:sdt>
      <w:sdtPr>
        <w:docPartObj>
          <w:docPartGallery w:val="Table of Contents"/>
          <w:docPartUnique w:val="true"/>
        </w:docPartObj>
      </w:sdtPr>
      <w:sdtContent>
        <w:p>
          <w:pPr>
            <w:pStyle w:val="Titoloindice"/>
            <w:rPr>
              <w:rFonts w:ascii="Titillium Web" w:hAnsi="Titillium Web"/>
            </w:rPr>
          </w:pPr>
          <w:r>
            <w:br w:type="page"/>
          </w:r>
          <w:r>
            <w:rPr>
              <w:rFonts w:ascii="Titillium Web" w:hAnsi="Titillium Web"/>
            </w:rPr>
            <w:t>Indice</w:t>
          </w:r>
        </w:p>
        <w:p>
          <w:pPr>
            <w:pStyle w:val="Indice1"/>
            <w:tabs>
              <w:tab w:val="clear" w:pos="720"/>
              <w:tab w:val="right" w:pos="9730" w:leader="dot"/>
            </w:tabs>
            <w:ind w:left="284" w:hanging="232"/>
            <w:rPr>
              <w:b w:val="false"/>
              <w:b w:val="false"/>
              <w:bCs w:val="false"/>
              <w:lang w:eastAsia="it-IT"/>
            </w:rPr>
          </w:pPr>
          <w:r>
            <w:fldChar w:fldCharType="begin"/>
          </w:r>
          <w:r>
            <w:rPr>
              <w:webHidden/>
              <w:rStyle w:val="Saltoaindice"/>
              <w:rFonts w:cs="Times New Roman" w:ascii="Titillium Web" w:hAnsi="Titillium Web"/>
            </w:rPr>
            <w:instrText xml:space="preserve"> TOC \z \o "1-3" \u \h</w:instrText>
          </w:r>
          <w:r>
            <w:rPr>
              <w:webHidden/>
              <w:rStyle w:val="Saltoaindice"/>
              <w:rFonts w:cs="Times New Roman" w:ascii="Titillium Web" w:hAnsi="Titillium Web"/>
            </w:rPr>
            <w:fldChar w:fldCharType="separate"/>
          </w:r>
          <w:hyperlink w:anchor="_Toc215218241">
            <w:r>
              <w:rPr>
                <w:webHidden/>
                <w:rStyle w:val="Saltoaindice"/>
                <w:rFonts w:cs="Times New Roman" w:ascii="Titillium Web" w:hAnsi="Titillium Web"/>
              </w:rPr>
              <w:t>1.</w:t>
            </w:r>
            <w:r>
              <w:rPr>
                <w:rStyle w:val="Saltoaindice"/>
                <w:b w:val="false"/>
                <w:bCs w:val="false"/>
                <w:lang w:eastAsia="it-IT"/>
              </w:rPr>
              <w:tab/>
            </w:r>
            <w:r>
              <w:rPr>
                <w:rStyle w:val="Saltoaindice"/>
                <w:rFonts w:cs="Times New Roman" w:ascii="Titillium Web" w:hAnsi="Titillium Web"/>
              </w:rPr>
              <w:t>Finalità, obiettivi e risorse</w:t>
            </w:r>
            <w:r>
              <w:rPr>
                <w:webHidden/>
              </w:rPr>
              <w:fldChar w:fldCharType="begin"/>
            </w:r>
            <w:r>
              <w:rPr>
                <w:webHidden/>
              </w:rPr>
              <w:instrText xml:space="preserve">PAGEREF _Toc215218241 \h</w:instrText>
            </w:r>
            <w:r>
              <w:rPr>
                <w:webHidden/>
              </w:rPr>
              <w:fldChar w:fldCharType="separate"/>
            </w:r>
            <w:r>
              <w:rPr>
                <w:rStyle w:val="Saltoaindice"/>
                <w:vanish w:val="false"/>
              </w:rPr>
              <w:tab/>
              <w:t>4</w:t>
            </w:r>
            <w:r>
              <w:rPr>
                <w:webHidden/>
              </w:rPr>
              <w:fldChar w:fldCharType="end"/>
            </w:r>
          </w:hyperlink>
        </w:p>
        <w:p>
          <w:pPr>
            <w:pStyle w:val="Indice2"/>
            <w:tabs>
              <w:tab w:val="clear" w:pos="720"/>
              <w:tab w:val="right" w:pos="9730" w:leader="dot"/>
            </w:tabs>
            <w:rPr>
              <w:lang w:eastAsia="it-IT"/>
            </w:rPr>
          </w:pPr>
          <w:hyperlink w:anchor="_Toc215218242">
            <w:r>
              <w:rPr>
                <w:webHidden/>
                <w:rStyle w:val="Saltoaindice"/>
                <w:rFonts w:eastAsia="Calibri" w:cs="Times New Roman" w:ascii="Times New Roman" w:hAnsi="Times New Roman"/>
                <w:b/>
                <w:bCs/>
              </w:rPr>
              <w:t>1.1</w:t>
            </w:r>
            <w:r>
              <w:rPr>
                <w:rStyle w:val="Saltoaindice"/>
                <w:lang w:eastAsia="it-IT"/>
              </w:rPr>
              <w:tab/>
            </w:r>
            <w:r>
              <w:rPr>
                <w:rStyle w:val="Saltoaindice"/>
                <w:rFonts w:cs="Times New Roman" w:ascii="Titillium Web" w:hAnsi="Titillium Web"/>
                <w:b/>
                <w:bCs/>
              </w:rPr>
              <w:t>Finalità</w:t>
            </w:r>
            <w:r>
              <w:rPr>
                <w:rStyle w:val="Saltoaindice"/>
                <w:rFonts w:cs="Times New Roman" w:ascii="Titillium Web" w:hAnsi="Titillium Web"/>
                <w:b/>
                <w:bCs/>
                <w:spacing w:val="-1"/>
              </w:rPr>
              <w:t xml:space="preserve"> </w:t>
            </w:r>
            <w:r>
              <w:rPr>
                <w:rStyle w:val="Saltoaindice"/>
                <w:rFonts w:cs="Times New Roman" w:ascii="Titillium Web" w:hAnsi="Titillium Web"/>
                <w:b/>
                <w:bCs/>
              </w:rPr>
              <w:t>e</w:t>
            </w:r>
            <w:r>
              <w:rPr>
                <w:rStyle w:val="Saltoaindice"/>
                <w:rFonts w:cs="Times New Roman" w:ascii="Titillium Web" w:hAnsi="Titillium Web"/>
                <w:b/>
                <w:bCs/>
                <w:spacing w:val="-1"/>
              </w:rPr>
              <w:t xml:space="preserve"> </w:t>
            </w:r>
            <w:r>
              <w:rPr>
                <w:rStyle w:val="Saltoaindice"/>
                <w:rFonts w:cs="Times New Roman" w:ascii="Titillium Web" w:hAnsi="Titillium Web"/>
                <w:b/>
                <w:bCs/>
                <w:spacing w:val="-2"/>
              </w:rPr>
              <w:t>obiettivi</w:t>
            </w:r>
            <w:r>
              <w:rPr>
                <w:rStyle w:val="Saltoaindice"/>
                <w:vanish w:val="false"/>
              </w:rPr>
              <w:tab/>
            </w:r>
            <w:r>
              <w:rPr>
                <w:webHidden/>
              </w:rPr>
              <w:fldChar w:fldCharType="begin"/>
            </w:r>
            <w:r>
              <w:rPr>
                <w:webHidden/>
              </w:rPr>
              <w:instrText xml:space="preserve">PAGEREF _Toc215218242 \h</w:instrText>
            </w:r>
            <w:r>
              <w:rPr>
                <w:webHidden/>
              </w:rPr>
              <w:fldChar w:fldCharType="separate"/>
            </w:r>
            <w:r>
              <w:rPr>
                <w:rStyle w:val="Saltoaindice"/>
                <w:b/>
                <w:bCs/>
                <w:vanish w:val="false"/>
              </w:rPr>
              <w:t>4</w:t>
            </w:r>
            <w:r>
              <w:rPr>
                <w:webHidden/>
              </w:rPr>
              <w:fldChar w:fldCharType="end"/>
            </w:r>
          </w:hyperlink>
        </w:p>
        <w:p>
          <w:pPr>
            <w:pStyle w:val="Indice2"/>
            <w:tabs>
              <w:tab w:val="clear" w:pos="720"/>
              <w:tab w:val="right" w:pos="9730" w:leader="dot"/>
            </w:tabs>
            <w:rPr>
              <w:lang w:eastAsia="it-IT"/>
            </w:rPr>
          </w:pPr>
          <w:hyperlink w:anchor="_Toc215218243">
            <w:r>
              <w:rPr>
                <w:webHidden/>
                <w:rStyle w:val="Saltoaindice"/>
                <w:rFonts w:eastAsia="Calibri" w:cs="Times New Roman" w:ascii="Times New Roman" w:hAnsi="Times New Roman"/>
                <w:b/>
                <w:bCs/>
              </w:rPr>
              <w:t>1.2</w:t>
            </w:r>
            <w:r>
              <w:rPr>
                <w:rStyle w:val="Saltoaindice"/>
                <w:lang w:eastAsia="it-IT"/>
              </w:rPr>
              <w:tab/>
            </w:r>
            <w:r>
              <w:rPr>
                <w:rStyle w:val="Saltoaindice"/>
                <w:rFonts w:cs="Times New Roman" w:ascii="Titillium Web" w:hAnsi="Titillium Web"/>
                <w:b/>
                <w:bCs/>
              </w:rPr>
              <w:t>Base giuridica e forma dell’aiuto</w:t>
            </w:r>
            <w:r>
              <w:rPr>
                <w:rStyle w:val="Saltoaindice"/>
                <w:vanish w:val="false"/>
              </w:rPr>
              <w:tab/>
            </w:r>
            <w:r>
              <w:rPr>
                <w:webHidden/>
              </w:rPr>
              <w:fldChar w:fldCharType="begin"/>
            </w:r>
            <w:r>
              <w:rPr>
                <w:webHidden/>
              </w:rPr>
              <w:instrText xml:space="preserve">PAGEREF _Toc215218243 \h</w:instrText>
            </w:r>
            <w:r>
              <w:rPr>
                <w:webHidden/>
              </w:rPr>
              <w:fldChar w:fldCharType="separate"/>
            </w:r>
            <w:r>
              <w:rPr>
                <w:rStyle w:val="Saltoaindice"/>
                <w:b/>
                <w:bCs/>
                <w:vanish w:val="false"/>
              </w:rPr>
              <w:t>5</w:t>
            </w:r>
            <w:r>
              <w:rPr>
                <w:webHidden/>
              </w:rPr>
              <w:fldChar w:fldCharType="end"/>
            </w:r>
          </w:hyperlink>
        </w:p>
        <w:p>
          <w:pPr>
            <w:pStyle w:val="Indice2"/>
            <w:tabs>
              <w:tab w:val="clear" w:pos="720"/>
              <w:tab w:val="right" w:pos="9730" w:leader="dot"/>
            </w:tabs>
            <w:rPr>
              <w:lang w:eastAsia="it-IT"/>
            </w:rPr>
          </w:pPr>
          <w:hyperlink w:anchor="_Toc215218244">
            <w:r>
              <w:rPr>
                <w:webHidden/>
                <w:rStyle w:val="Saltoaindice"/>
                <w:rFonts w:eastAsia="Calibri" w:cs="Times New Roman" w:ascii="Times New Roman" w:hAnsi="Times New Roman"/>
                <w:b/>
                <w:bCs/>
              </w:rPr>
              <w:t>1.3</w:t>
            </w:r>
            <w:r>
              <w:rPr>
                <w:rStyle w:val="Saltoaindice"/>
                <w:lang w:eastAsia="it-IT"/>
              </w:rPr>
              <w:tab/>
            </w:r>
            <w:r>
              <w:rPr>
                <w:rStyle w:val="Saltoaindice"/>
                <w:rFonts w:cs="Times New Roman" w:ascii="Titillium Web" w:hAnsi="Titillium Web"/>
                <w:b/>
                <w:bCs/>
              </w:rPr>
              <w:t>Linee di intervento e dotazione finanziaria</w:t>
            </w:r>
            <w:r>
              <w:rPr>
                <w:rStyle w:val="Saltoaindice"/>
                <w:vanish w:val="false"/>
              </w:rPr>
              <w:tab/>
            </w:r>
            <w:r>
              <w:rPr>
                <w:webHidden/>
              </w:rPr>
              <w:fldChar w:fldCharType="begin"/>
            </w:r>
            <w:r>
              <w:rPr>
                <w:webHidden/>
              </w:rPr>
              <w:instrText xml:space="preserve">PAGEREF _Toc215218244 \h</w:instrText>
            </w:r>
            <w:r>
              <w:rPr>
                <w:webHidden/>
              </w:rPr>
              <w:fldChar w:fldCharType="separate"/>
            </w:r>
            <w:r>
              <w:rPr>
                <w:rStyle w:val="Saltoaindice"/>
                <w:b/>
                <w:bCs/>
                <w:vanish w:val="false"/>
              </w:rPr>
              <w:t>5</w:t>
            </w:r>
            <w:r>
              <w:rPr>
                <w:webHidden/>
              </w:rPr>
              <w:fldChar w:fldCharType="end"/>
            </w:r>
          </w:hyperlink>
        </w:p>
        <w:p>
          <w:pPr>
            <w:pStyle w:val="Indice2"/>
            <w:tabs>
              <w:tab w:val="clear" w:pos="720"/>
              <w:tab w:val="right" w:pos="9730" w:leader="dot"/>
            </w:tabs>
            <w:rPr>
              <w:lang w:eastAsia="it-IT"/>
            </w:rPr>
          </w:pPr>
          <w:hyperlink w:anchor="_Toc215218245">
            <w:r>
              <w:rPr>
                <w:webHidden/>
                <w:rStyle w:val="Saltoaindice"/>
                <w:rFonts w:eastAsia="Calibri" w:cs="Times New Roman" w:ascii="Times New Roman" w:hAnsi="Times New Roman"/>
                <w:b/>
                <w:bCs/>
              </w:rPr>
              <w:t>1.4</w:t>
            </w:r>
            <w:r>
              <w:rPr>
                <w:rStyle w:val="Saltoaindice"/>
                <w:lang w:eastAsia="it-IT"/>
              </w:rPr>
              <w:tab/>
            </w:r>
            <w:r>
              <w:rPr>
                <w:rStyle w:val="Saltoaindice"/>
                <w:rFonts w:cs="Times New Roman" w:ascii="Titillium Web" w:hAnsi="Titillium Web"/>
                <w:b/>
                <w:bCs/>
              </w:rPr>
              <w:t>Riferimenti normativi e amministrativi dell’avviso</w:t>
            </w:r>
            <w:r>
              <w:rPr>
                <w:rStyle w:val="Saltoaindice"/>
                <w:vanish w:val="false"/>
              </w:rPr>
              <w:tab/>
            </w:r>
            <w:r>
              <w:rPr>
                <w:webHidden/>
              </w:rPr>
              <w:fldChar w:fldCharType="begin"/>
            </w:r>
            <w:r>
              <w:rPr>
                <w:webHidden/>
              </w:rPr>
              <w:instrText xml:space="preserve">PAGEREF _Toc215218245 \h</w:instrText>
            </w:r>
            <w:r>
              <w:rPr>
                <w:webHidden/>
              </w:rPr>
              <w:fldChar w:fldCharType="separate"/>
            </w:r>
            <w:r>
              <w:rPr>
                <w:rStyle w:val="Saltoaindice"/>
                <w:b/>
                <w:bCs/>
                <w:vanish w:val="false"/>
              </w:rPr>
              <w:t>5</w:t>
            </w:r>
            <w:r>
              <w:rPr>
                <w:webHidden/>
              </w:rPr>
              <w:fldChar w:fldCharType="end"/>
            </w:r>
          </w:hyperlink>
        </w:p>
        <w:p>
          <w:pPr>
            <w:pStyle w:val="Indice1"/>
            <w:tabs>
              <w:tab w:val="clear" w:pos="720"/>
              <w:tab w:val="right" w:pos="9730" w:leader="dot"/>
            </w:tabs>
            <w:ind w:left="284" w:hanging="232"/>
            <w:rPr>
              <w:b w:val="false"/>
              <w:b w:val="false"/>
              <w:bCs w:val="false"/>
              <w:lang w:eastAsia="it-IT"/>
            </w:rPr>
          </w:pPr>
          <w:hyperlink w:anchor="_Toc215218246">
            <w:r>
              <w:rPr>
                <w:webHidden/>
                <w:rStyle w:val="Saltoaindice"/>
                <w:rFonts w:cs="Times New Roman" w:ascii="Titillium Web" w:hAnsi="Titillium Web"/>
              </w:rPr>
              <w:t>2.</w:t>
            </w:r>
            <w:r>
              <w:rPr>
                <w:rStyle w:val="Saltoaindice"/>
                <w:b w:val="false"/>
                <w:bCs w:val="false"/>
                <w:lang w:eastAsia="it-IT"/>
              </w:rPr>
              <w:tab/>
            </w:r>
            <w:r>
              <w:rPr>
                <w:rStyle w:val="Saltoaindice"/>
                <w:rFonts w:cs="Times New Roman" w:ascii="Titillium Web" w:hAnsi="Titillium Web"/>
              </w:rPr>
              <w:t>Beneficiari e requisiti di ammissibilità</w:t>
            </w:r>
            <w:r>
              <w:rPr>
                <w:webHidden/>
              </w:rPr>
              <w:fldChar w:fldCharType="begin"/>
            </w:r>
            <w:r>
              <w:rPr>
                <w:webHidden/>
              </w:rPr>
              <w:instrText xml:space="preserve">PAGEREF _Toc215218246 \h</w:instrText>
            </w:r>
            <w:r>
              <w:rPr>
                <w:webHidden/>
              </w:rPr>
              <w:fldChar w:fldCharType="separate"/>
            </w:r>
            <w:r>
              <w:rPr>
                <w:rStyle w:val="Saltoaindice"/>
                <w:vanish w:val="false"/>
              </w:rPr>
              <w:tab/>
              <w:t>7</w:t>
            </w:r>
            <w:r>
              <w:rPr>
                <w:webHidden/>
              </w:rPr>
              <w:fldChar w:fldCharType="end"/>
            </w:r>
          </w:hyperlink>
        </w:p>
        <w:p>
          <w:pPr>
            <w:pStyle w:val="Indice2"/>
            <w:tabs>
              <w:tab w:val="clear" w:pos="720"/>
              <w:tab w:val="right" w:pos="9730" w:leader="dot"/>
            </w:tabs>
            <w:rPr>
              <w:lang w:eastAsia="it-IT"/>
            </w:rPr>
          </w:pPr>
          <w:hyperlink w:anchor="_Toc215218247">
            <w:r>
              <w:rPr>
                <w:webHidden/>
                <w:rStyle w:val="Saltoaindice"/>
                <w:rFonts w:cs="Times New Roman" w:ascii="Times New Roman" w:hAnsi="Times New Roman"/>
                <w:bCs/>
              </w:rPr>
              <w:t>-</w:t>
            </w:r>
            <w:r>
              <w:rPr>
                <w:rStyle w:val="Saltoaindice"/>
                <w:lang w:eastAsia="it-IT"/>
              </w:rPr>
              <w:tab/>
            </w:r>
            <w:r>
              <w:rPr>
                <w:rStyle w:val="Saltoaindice"/>
                <w:rFonts w:cs="Times New Roman" w:ascii="Aptos" w:hAnsi="Aptos"/>
                <w:b/>
                <w:bCs/>
              </w:rPr>
              <w:t>Linea A</w:t>
            </w:r>
            <w:r>
              <w:rPr>
                <w:rStyle w:val="Saltoaindice"/>
                <w:vanish w:val="false"/>
              </w:rPr>
              <w:tab/>
            </w:r>
            <w:r>
              <w:rPr>
                <w:webHidden/>
              </w:rPr>
              <w:fldChar w:fldCharType="begin"/>
            </w:r>
            <w:r>
              <w:rPr>
                <w:webHidden/>
              </w:rPr>
              <w:instrText xml:space="preserve">PAGEREF _Toc215218247 \h</w:instrText>
            </w:r>
            <w:r>
              <w:rPr>
                <w:webHidden/>
              </w:rPr>
              <w:fldChar w:fldCharType="separate"/>
            </w:r>
            <w:r>
              <w:rPr>
                <w:rStyle w:val="Saltoaindice"/>
                <w:b/>
                <w:bCs/>
                <w:vanish w:val="false"/>
              </w:rPr>
              <w:t>8</w:t>
            </w:r>
            <w:r>
              <w:rPr>
                <w:webHidden/>
              </w:rPr>
              <w:fldChar w:fldCharType="end"/>
            </w:r>
          </w:hyperlink>
        </w:p>
        <w:p>
          <w:pPr>
            <w:pStyle w:val="Indice2"/>
            <w:tabs>
              <w:tab w:val="clear" w:pos="720"/>
              <w:tab w:val="right" w:pos="9730" w:leader="dot"/>
            </w:tabs>
            <w:rPr>
              <w:lang w:eastAsia="it-IT"/>
            </w:rPr>
          </w:pPr>
          <w:hyperlink w:anchor="_Toc215218248">
            <w:r>
              <w:rPr>
                <w:webHidden/>
                <w:rStyle w:val="Saltoaindice"/>
                <w:rFonts w:cs="Times New Roman" w:ascii="Times New Roman" w:hAnsi="Times New Roman"/>
                <w:bCs/>
              </w:rPr>
              <w:t>-</w:t>
            </w:r>
            <w:r>
              <w:rPr>
                <w:rStyle w:val="Saltoaindice"/>
                <w:lang w:eastAsia="it-IT"/>
              </w:rPr>
              <w:tab/>
            </w:r>
            <w:r>
              <w:rPr>
                <w:rStyle w:val="Saltoaindice"/>
                <w:rFonts w:cs="Times New Roman" w:ascii="Aptos" w:hAnsi="Aptos"/>
                <w:b/>
                <w:bCs/>
              </w:rPr>
              <w:t>Linea B</w:t>
            </w:r>
            <w:r>
              <w:rPr>
                <w:rStyle w:val="Saltoaindice"/>
                <w:vanish w:val="false"/>
              </w:rPr>
              <w:tab/>
            </w:r>
            <w:r>
              <w:rPr>
                <w:webHidden/>
              </w:rPr>
              <w:fldChar w:fldCharType="begin"/>
            </w:r>
            <w:r>
              <w:rPr>
                <w:webHidden/>
              </w:rPr>
              <w:instrText xml:space="preserve">PAGEREF _Toc215218248 \h</w:instrText>
            </w:r>
            <w:r>
              <w:rPr>
                <w:webHidden/>
              </w:rPr>
              <w:fldChar w:fldCharType="separate"/>
            </w:r>
            <w:r>
              <w:rPr>
                <w:rStyle w:val="Saltoaindice"/>
                <w:b/>
                <w:bCs/>
                <w:vanish w:val="false"/>
              </w:rPr>
              <w:t>9</w:t>
            </w:r>
            <w:r>
              <w:rPr>
                <w:webHidden/>
              </w:rPr>
              <w:fldChar w:fldCharType="end"/>
            </w:r>
          </w:hyperlink>
        </w:p>
        <w:p>
          <w:pPr>
            <w:pStyle w:val="Indice1"/>
            <w:tabs>
              <w:tab w:val="clear" w:pos="720"/>
              <w:tab w:val="right" w:pos="9730" w:leader="dot"/>
            </w:tabs>
            <w:ind w:left="284" w:hanging="232"/>
            <w:rPr>
              <w:b w:val="false"/>
              <w:b w:val="false"/>
              <w:bCs w:val="false"/>
              <w:lang w:eastAsia="it-IT"/>
            </w:rPr>
          </w:pPr>
          <w:hyperlink w:anchor="_Toc215218249">
            <w:r>
              <w:rPr>
                <w:webHidden/>
                <w:rStyle w:val="Saltoaindice"/>
                <w:rFonts w:cs="Times New Roman" w:ascii="Titillium Web" w:hAnsi="Titillium Web"/>
              </w:rPr>
              <w:t>3.</w:t>
            </w:r>
            <w:r>
              <w:rPr>
                <w:rStyle w:val="Saltoaindice"/>
                <w:b w:val="false"/>
                <w:bCs w:val="false"/>
                <w:lang w:eastAsia="it-IT"/>
              </w:rPr>
              <w:tab/>
            </w:r>
            <w:r>
              <w:rPr>
                <w:rStyle w:val="Saltoaindice"/>
                <w:rFonts w:cs="Times New Roman" w:ascii="Titillium Web" w:hAnsi="Titillium Web"/>
              </w:rPr>
              <w:t>Interventi finanziabili e spese ammissibili</w:t>
            </w:r>
            <w:r>
              <w:rPr>
                <w:webHidden/>
              </w:rPr>
              <w:fldChar w:fldCharType="begin"/>
            </w:r>
            <w:r>
              <w:rPr>
                <w:webHidden/>
              </w:rPr>
              <w:instrText xml:space="preserve">PAGEREF _Toc215218249 \h</w:instrText>
            </w:r>
            <w:r>
              <w:rPr>
                <w:webHidden/>
              </w:rPr>
              <w:fldChar w:fldCharType="separate"/>
            </w:r>
            <w:r>
              <w:rPr>
                <w:rStyle w:val="Saltoaindice"/>
                <w:vanish w:val="false"/>
              </w:rPr>
              <w:tab/>
              <w:t>10</w:t>
            </w:r>
            <w:r>
              <w:rPr>
                <w:webHidden/>
              </w:rPr>
              <w:fldChar w:fldCharType="end"/>
            </w:r>
          </w:hyperlink>
        </w:p>
        <w:p>
          <w:pPr>
            <w:pStyle w:val="Indice2"/>
            <w:tabs>
              <w:tab w:val="clear" w:pos="720"/>
              <w:tab w:val="right" w:pos="9730" w:leader="dot"/>
            </w:tabs>
            <w:rPr/>
          </w:pPr>
          <w:hyperlink w:anchor="_Toc215218250">
            <w:r>
              <w:rPr>
                <w:webHidden/>
                <w:rStyle w:val="Saltoaindice"/>
                <w:rFonts w:cs="Times New Roman" w:ascii="Titillium Web" w:hAnsi="Titillium Web"/>
                <w:b/>
                <w:bCs/>
              </w:rPr>
              <w:t>3.1 Linea A</w:t>
            </w:r>
            <w:r>
              <w:rPr>
                <w:rStyle w:val="Saltoaindice"/>
                <w:vanish w:val="false"/>
              </w:rPr>
              <w:tab/>
            </w:r>
            <w:r>
              <w:rPr>
                <w:webHidden/>
              </w:rPr>
              <w:fldChar w:fldCharType="begin"/>
            </w:r>
            <w:r>
              <w:rPr>
                <w:webHidden/>
              </w:rPr>
              <w:instrText xml:space="preserve">PAGEREF _Toc215218250 \h</w:instrText>
            </w:r>
            <w:r>
              <w:rPr>
                <w:webHidden/>
              </w:rPr>
              <w:fldChar w:fldCharType="separate"/>
            </w:r>
            <w:r>
              <w:rPr>
                <w:rStyle w:val="Saltoaindice"/>
                <w:b/>
                <w:bCs/>
                <w:vanish w:val="false"/>
              </w:rPr>
              <w:t>10</w:t>
            </w:r>
            <w:r>
              <w:rPr>
                <w:webHidden/>
              </w:rPr>
              <w:fldChar w:fldCharType="end"/>
            </w:r>
          </w:hyperlink>
        </w:p>
        <w:p>
          <w:pPr>
            <w:pStyle w:val="Indice2"/>
            <w:tabs>
              <w:tab w:val="clear" w:pos="720"/>
              <w:tab w:val="right" w:pos="9730" w:leader="dot"/>
            </w:tabs>
            <w:rPr/>
          </w:pPr>
          <w:hyperlink w:anchor="_Toc215218250">
            <w:r>
              <w:rPr>
                <w:webHidden/>
                <w:rStyle w:val="Saltoaindice"/>
                <w:rFonts w:cs="Times New Roman" w:ascii="Titillium Web" w:hAnsi="Titillium Web"/>
                <w:b/>
                <w:bCs/>
              </w:rPr>
              <w:t>3.2 Linea B</w:t>
            </w:r>
            <w:r>
              <w:rPr>
                <w:rStyle w:val="Saltoaindice"/>
                <w:vanish w:val="false"/>
              </w:rPr>
              <w:tab/>
            </w:r>
            <w:r>
              <w:rPr>
                <w:webHidden/>
              </w:rPr>
              <w:fldChar w:fldCharType="begin"/>
            </w:r>
            <w:r>
              <w:rPr>
                <w:webHidden/>
              </w:rPr>
              <w:instrText xml:space="preserve">PAGEREF _Toc215218250 \h</w:instrText>
            </w:r>
            <w:r>
              <w:rPr>
                <w:webHidden/>
              </w:rPr>
              <w:fldChar w:fldCharType="separate"/>
            </w:r>
            <w:r>
              <w:rPr>
                <w:rStyle w:val="Saltoaindice"/>
                <w:b/>
                <w:bCs/>
                <w:vanish w:val="false"/>
              </w:rPr>
              <w:t>10</w:t>
            </w:r>
            <w:r>
              <w:rPr>
                <w:webHidden/>
              </w:rPr>
              <w:fldChar w:fldCharType="end"/>
            </w:r>
          </w:hyperlink>
        </w:p>
        <w:p>
          <w:pPr>
            <w:pStyle w:val="Indice2"/>
            <w:tabs>
              <w:tab w:val="clear" w:pos="720"/>
              <w:tab w:val="right" w:pos="9730" w:leader="dot"/>
            </w:tabs>
            <w:rPr>
              <w:b/>
              <w:b/>
              <w:bCs/>
              <w:lang w:eastAsia="it-IT"/>
            </w:rPr>
          </w:pPr>
          <w:hyperlink w:anchor="_Toc215218251">
            <w:r>
              <w:rPr>
                <w:webHidden/>
                <w:rStyle w:val="Saltoaindice"/>
                <w:rFonts w:cs="Times New Roman" w:ascii="Titillium Web" w:hAnsi="Titillium Web"/>
                <w:b/>
                <w:bCs/>
              </w:rPr>
              <w:t>3.3</w:t>
            </w:r>
            <w:r>
              <w:rPr>
                <w:rStyle w:val="Saltoaindice"/>
                <w:b/>
                <w:bCs/>
                <w:lang w:eastAsia="it-IT"/>
              </w:rPr>
              <w:tab/>
            </w:r>
            <w:r>
              <w:rPr>
                <w:rStyle w:val="Saltoaindice"/>
                <w:rFonts w:cs="Times New Roman" w:ascii="Titillium Web" w:hAnsi="Titillium Web"/>
                <w:b/>
                <w:bCs/>
              </w:rPr>
              <w:t>Importo investimento ammissibile</w:t>
            </w:r>
            <w:r>
              <w:rPr>
                <w:webHidden/>
              </w:rPr>
              <w:fldChar w:fldCharType="begin"/>
            </w:r>
            <w:r>
              <w:rPr>
                <w:webHidden/>
              </w:rPr>
              <w:instrText xml:space="preserve">PAGEREF _Toc215218251 \h</w:instrText>
            </w:r>
            <w:r>
              <w:rPr>
                <w:webHidden/>
              </w:rPr>
              <w:fldChar w:fldCharType="separate"/>
            </w:r>
            <w:r>
              <w:rPr>
                <w:rStyle w:val="Saltoaindice"/>
                <w:b/>
                <w:bCs/>
                <w:vanish w:val="false"/>
              </w:rPr>
              <w:tab/>
              <w:t>11</w:t>
            </w:r>
            <w:r>
              <w:rPr>
                <w:webHidden/>
              </w:rPr>
              <w:fldChar w:fldCharType="end"/>
            </w:r>
          </w:hyperlink>
        </w:p>
        <w:p>
          <w:pPr>
            <w:pStyle w:val="Indice2"/>
            <w:tabs>
              <w:tab w:val="clear" w:pos="720"/>
              <w:tab w:val="right" w:pos="9730" w:leader="dot"/>
            </w:tabs>
            <w:rPr>
              <w:b/>
              <w:b/>
              <w:bCs/>
              <w:lang w:eastAsia="it-IT"/>
            </w:rPr>
          </w:pPr>
          <w:hyperlink w:anchor="_Toc215218252">
            <w:r>
              <w:rPr>
                <w:webHidden/>
                <w:rStyle w:val="Saltoaindice"/>
                <w:rFonts w:cs="Times New Roman" w:ascii="Titillium Web" w:hAnsi="Titillium Web"/>
                <w:b/>
                <w:bCs/>
              </w:rPr>
              <w:t>3.4</w:t>
            </w:r>
            <w:r>
              <w:rPr>
                <w:rStyle w:val="Saltoaindice"/>
                <w:b/>
                <w:bCs/>
                <w:lang w:eastAsia="it-IT"/>
              </w:rPr>
              <w:tab/>
            </w:r>
            <w:r>
              <w:rPr>
                <w:rStyle w:val="Saltoaindice"/>
                <w:rFonts w:cs="Times New Roman" w:ascii="Titillium Web" w:hAnsi="Titillium Web"/>
                <w:b/>
                <w:bCs/>
              </w:rPr>
              <w:t>Durata e termini di realizzazione del Progetto</w:t>
            </w:r>
            <w:r>
              <w:rPr>
                <w:webHidden/>
              </w:rPr>
              <w:fldChar w:fldCharType="begin"/>
            </w:r>
            <w:r>
              <w:rPr>
                <w:webHidden/>
              </w:rPr>
              <w:instrText xml:space="preserve">PAGEREF _Toc215218252 \h</w:instrText>
            </w:r>
            <w:r>
              <w:rPr>
                <w:webHidden/>
              </w:rPr>
              <w:fldChar w:fldCharType="separate"/>
            </w:r>
            <w:r>
              <w:rPr>
                <w:rStyle w:val="Saltoaindice"/>
                <w:b/>
                <w:bCs/>
                <w:vanish w:val="false"/>
              </w:rPr>
              <w:tab/>
              <w:t>11</w:t>
            </w:r>
            <w:r>
              <w:rPr>
                <w:webHidden/>
              </w:rPr>
              <w:fldChar w:fldCharType="end"/>
            </w:r>
          </w:hyperlink>
        </w:p>
        <w:p>
          <w:pPr>
            <w:pStyle w:val="Indice2"/>
            <w:tabs>
              <w:tab w:val="clear" w:pos="720"/>
              <w:tab w:val="right" w:pos="9730" w:leader="dot"/>
            </w:tabs>
            <w:rPr>
              <w:b/>
              <w:b/>
              <w:bCs/>
            </w:rPr>
          </w:pPr>
          <w:hyperlink w:anchor="_Toc215218253">
            <w:r>
              <w:rPr>
                <w:webHidden/>
                <w:rStyle w:val="Saltoaindice"/>
                <w:rFonts w:cs="Times New Roman" w:ascii="Titillium Web" w:hAnsi="Titillium Web"/>
                <w:b/>
                <w:bCs/>
              </w:rPr>
              <w:t>3.5</w:t>
            </w:r>
            <w:r>
              <w:rPr>
                <w:rStyle w:val="Saltoaindice"/>
                <w:b/>
                <w:bCs/>
                <w:lang w:eastAsia="it-IT"/>
              </w:rPr>
              <w:tab/>
            </w:r>
            <w:r>
              <w:rPr>
                <w:rStyle w:val="Saltoaindice"/>
                <w:rFonts w:cs="Times New Roman" w:ascii="Titillium Web" w:hAnsi="Titillium Web"/>
                <w:b/>
                <w:bCs/>
              </w:rPr>
              <w:t>Spese ammissibili</w:t>
            </w:r>
            <w:r>
              <w:rPr>
                <w:webHidden/>
              </w:rPr>
              <w:fldChar w:fldCharType="begin"/>
            </w:r>
            <w:r>
              <w:rPr>
                <w:webHidden/>
              </w:rPr>
              <w:instrText xml:space="preserve">PAGEREF _Toc215218253 \h</w:instrText>
            </w:r>
            <w:r>
              <w:rPr>
                <w:webHidden/>
              </w:rPr>
              <w:fldChar w:fldCharType="separate"/>
            </w:r>
            <w:r>
              <w:rPr>
                <w:rStyle w:val="Saltoaindice"/>
                <w:b/>
                <w:bCs/>
                <w:vanish w:val="false"/>
              </w:rPr>
              <w:tab/>
              <w:t>11</w:t>
            </w:r>
            <w:r>
              <w:rPr>
                <w:webHidden/>
              </w:rPr>
              <w:fldChar w:fldCharType="end"/>
            </w:r>
          </w:hyperlink>
        </w:p>
        <w:p>
          <w:pPr>
            <w:pStyle w:val="Indice2"/>
            <w:tabs>
              <w:tab w:val="clear" w:pos="720"/>
              <w:tab w:val="right" w:pos="9730" w:leader="dot"/>
            </w:tabs>
            <w:rPr>
              <w:b/>
              <w:b/>
              <w:bCs/>
              <w:lang w:eastAsia="it-IT"/>
            </w:rPr>
          </w:pPr>
          <w:hyperlink w:anchor="_Toc215218255">
            <w:r>
              <w:rPr>
                <w:webHidden/>
                <w:rStyle w:val="Saltoaindice"/>
                <w:rFonts w:cs="Times New Roman" w:ascii="Aptos" w:hAnsi="Aptos"/>
                <w:b/>
                <w:bCs/>
              </w:rPr>
              <w:t>3.6</w:t>
            </w:r>
            <w:r>
              <w:rPr>
                <w:rStyle w:val="Saltoaindice"/>
                <w:b/>
                <w:bCs/>
                <w:lang w:eastAsia="it-IT"/>
              </w:rPr>
              <w:tab/>
            </w:r>
            <w:r>
              <w:rPr>
                <w:rStyle w:val="Saltoaindice"/>
                <w:rFonts w:cs="Times New Roman" w:ascii="Titillium Web" w:hAnsi="Titillium Web"/>
                <w:b/>
                <w:bCs/>
              </w:rPr>
              <w:t>Verifica del principio DNSH</w:t>
            </w:r>
            <w:r>
              <w:rPr>
                <w:webHidden/>
              </w:rPr>
              <w:fldChar w:fldCharType="begin"/>
            </w:r>
            <w:r>
              <w:rPr>
                <w:webHidden/>
              </w:rPr>
              <w:instrText xml:space="preserve">PAGEREF _Toc215218255 \h</w:instrText>
            </w:r>
            <w:r>
              <w:rPr>
                <w:webHidden/>
              </w:rPr>
              <w:fldChar w:fldCharType="separate"/>
            </w:r>
            <w:r>
              <w:rPr>
                <w:rStyle w:val="Saltoaindice"/>
                <w:b/>
                <w:bCs/>
                <w:vanish w:val="false"/>
              </w:rPr>
              <w:tab/>
              <w:t>14</w:t>
            </w:r>
            <w:r>
              <w:rPr>
                <w:webHidden/>
              </w:rPr>
              <w:fldChar w:fldCharType="end"/>
            </w:r>
          </w:hyperlink>
        </w:p>
        <w:p>
          <w:pPr>
            <w:pStyle w:val="Indice2"/>
            <w:tabs>
              <w:tab w:val="clear" w:pos="720"/>
              <w:tab w:val="right" w:pos="9730" w:leader="dot"/>
            </w:tabs>
            <w:rPr>
              <w:b/>
              <w:b/>
              <w:bCs/>
            </w:rPr>
          </w:pPr>
          <w:hyperlink w:anchor="_Toc215218254">
            <w:r>
              <w:rPr>
                <w:webHidden/>
                <w:rStyle w:val="Saltoaindice"/>
                <w:rFonts w:cs="Times New Roman" w:ascii="Titillium Web" w:hAnsi="Titillium Web"/>
                <w:b/>
                <w:bCs/>
              </w:rPr>
              <w:t>3.7</w:t>
            </w:r>
            <w:r>
              <w:rPr>
                <w:rStyle w:val="Saltoaindice"/>
                <w:b/>
                <w:bCs/>
                <w:lang w:eastAsia="it-IT"/>
              </w:rPr>
              <w:tab/>
            </w:r>
            <w:r>
              <w:rPr>
                <w:rStyle w:val="Saltoaindice"/>
                <w:rFonts w:cs="Times New Roman" w:ascii="Titillium Web" w:hAnsi="Titillium Web"/>
                <w:b/>
                <w:bCs/>
              </w:rPr>
              <w:t>Forma ed intensità del contributo</w:t>
            </w:r>
            <w:r>
              <w:rPr>
                <w:webHidden/>
              </w:rPr>
              <w:fldChar w:fldCharType="begin"/>
            </w:r>
            <w:r>
              <w:rPr>
                <w:webHidden/>
              </w:rPr>
              <w:instrText xml:space="preserve">PAGEREF _Toc215218254 \h</w:instrText>
            </w:r>
            <w:r>
              <w:rPr>
                <w:webHidden/>
              </w:rPr>
              <w:fldChar w:fldCharType="separate"/>
            </w:r>
            <w:r>
              <w:rPr>
                <w:rStyle w:val="Saltoaindice"/>
                <w:b/>
                <w:bCs/>
                <w:vanish w:val="false"/>
              </w:rPr>
              <w:tab/>
              <w:t>15</w:t>
            </w:r>
            <w:r>
              <w:rPr>
                <w:webHidden/>
              </w:rPr>
              <w:fldChar w:fldCharType="end"/>
            </w:r>
          </w:hyperlink>
        </w:p>
        <w:p>
          <w:pPr>
            <w:pStyle w:val="Indice2"/>
            <w:tabs>
              <w:tab w:val="clear" w:pos="720"/>
              <w:tab w:val="right" w:pos="9730" w:leader="dot"/>
            </w:tabs>
            <w:rPr>
              <w:b/>
              <w:b/>
              <w:bCs/>
              <w:lang w:eastAsia="it-IT"/>
            </w:rPr>
          </w:pPr>
          <w:hyperlink w:anchor="_Toc215218255">
            <w:r>
              <w:rPr>
                <w:webHidden/>
                <w:rStyle w:val="Saltoaindice"/>
                <w:rFonts w:cs="Times New Roman" w:ascii="Aptos" w:hAnsi="Aptos"/>
                <w:b/>
                <w:bCs/>
              </w:rPr>
              <w:t>3.8</w:t>
            </w:r>
            <w:r>
              <w:rPr>
                <w:rStyle w:val="Saltoaindice"/>
                <w:b/>
                <w:bCs/>
                <w:lang w:eastAsia="it-IT"/>
              </w:rPr>
              <w:tab/>
            </w:r>
            <w:r>
              <w:rPr>
                <w:rStyle w:val="Saltoaindice"/>
                <w:rFonts w:cs="Times New Roman" w:ascii="Titillium Web" w:hAnsi="Titillium Web"/>
                <w:b/>
                <w:bCs/>
              </w:rPr>
              <w:t>Cumulo</w:t>
            </w:r>
            <w:r>
              <w:rPr>
                <w:webHidden/>
              </w:rPr>
              <w:fldChar w:fldCharType="begin"/>
            </w:r>
            <w:r>
              <w:rPr>
                <w:webHidden/>
              </w:rPr>
              <w:instrText xml:space="preserve">PAGEREF _Toc215218255 \h</w:instrText>
            </w:r>
            <w:r>
              <w:rPr>
                <w:webHidden/>
              </w:rPr>
              <w:fldChar w:fldCharType="separate"/>
            </w:r>
            <w:r>
              <w:rPr>
                <w:rStyle w:val="Saltoaindice"/>
                <w:b/>
                <w:bCs/>
                <w:vanish w:val="false"/>
              </w:rPr>
              <w:tab/>
              <w:t>15</w:t>
            </w:r>
            <w:r>
              <w:rPr>
                <w:webHidden/>
              </w:rPr>
              <w:fldChar w:fldCharType="end"/>
            </w:r>
          </w:hyperlink>
        </w:p>
        <w:p>
          <w:pPr>
            <w:pStyle w:val="Indice2"/>
            <w:tabs>
              <w:tab w:val="clear" w:pos="720"/>
              <w:tab w:val="right" w:pos="9730" w:leader="dot"/>
            </w:tabs>
            <w:ind w:left="284" w:hanging="234"/>
            <w:rPr>
              <w:b/>
              <w:b/>
              <w:bCs/>
              <w:lang w:eastAsia="it-IT"/>
            </w:rPr>
          </w:pPr>
          <w:hyperlink w:anchor="_Toc215218256">
            <w:r>
              <w:rPr>
                <w:webHidden/>
                <w:rStyle w:val="Saltoaindice"/>
                <w:rFonts w:cs="Times New Roman" w:ascii="Aptos" w:hAnsi="Aptos"/>
                <w:b/>
                <w:bCs/>
                <w:spacing w:val="-2"/>
              </w:rPr>
              <w:t xml:space="preserve">4. </w:t>
              <w:tab/>
            </w:r>
            <w:r>
              <w:rPr>
                <w:rStyle w:val="Saltoaindice"/>
                <w:rFonts w:cs="Times New Roman" w:ascii="Titillium Web" w:hAnsi="Titillium Web"/>
                <w:b/>
                <w:bCs/>
                <w:spacing w:val="-2"/>
              </w:rPr>
              <w:t>Procedure</w:t>
            </w:r>
            <w:r>
              <w:rPr>
                <w:webHidden/>
              </w:rPr>
              <w:fldChar w:fldCharType="begin"/>
            </w:r>
            <w:r>
              <w:rPr>
                <w:webHidden/>
              </w:rPr>
              <w:instrText xml:space="preserve">PAGEREF _Toc215218256 \h</w:instrText>
            </w:r>
            <w:r>
              <w:rPr>
                <w:webHidden/>
              </w:rPr>
              <w:fldChar w:fldCharType="separate"/>
            </w:r>
            <w:r>
              <w:rPr>
                <w:rStyle w:val="Saltoaindice"/>
                <w:b/>
                <w:bCs/>
                <w:vanish w:val="false"/>
              </w:rPr>
              <w:tab/>
              <w:t>16</w:t>
            </w:r>
            <w:r>
              <w:rPr>
                <w:webHidden/>
              </w:rPr>
              <w:fldChar w:fldCharType="end"/>
            </w:r>
          </w:hyperlink>
        </w:p>
        <w:p>
          <w:pPr>
            <w:pStyle w:val="Indice2"/>
            <w:tabs>
              <w:tab w:val="clear" w:pos="720"/>
              <w:tab w:val="right" w:pos="9730" w:leader="dot"/>
            </w:tabs>
            <w:rPr>
              <w:b/>
              <w:b/>
              <w:bCs/>
              <w:lang w:eastAsia="it-IT"/>
            </w:rPr>
          </w:pPr>
          <w:hyperlink w:anchor="_Toc215218257">
            <w:r>
              <w:rPr>
                <w:webHidden/>
                <w:rStyle w:val="Saltoaindice"/>
                <w:rFonts w:cs="Times New Roman" w:ascii="Titillium Web" w:hAnsi="Titillium Web"/>
                <w:b/>
                <w:bCs/>
              </w:rPr>
              <w:t>4.1</w:t>
            </w:r>
            <w:r>
              <w:rPr>
                <w:rStyle w:val="Saltoaindice"/>
                <w:b/>
                <w:bCs/>
                <w:lang w:eastAsia="it-IT"/>
              </w:rPr>
              <w:tab/>
            </w:r>
            <w:r>
              <w:rPr>
                <w:rStyle w:val="Saltoaindice"/>
                <w:rFonts w:cs="Times New Roman" w:ascii="Titillium Web" w:hAnsi="Titillium Web"/>
                <w:b/>
                <w:bCs/>
              </w:rPr>
              <w:t>Indicazioni generali sulla procedura</w:t>
            </w:r>
            <w:r>
              <w:rPr>
                <w:webHidden/>
              </w:rPr>
              <w:fldChar w:fldCharType="begin"/>
            </w:r>
            <w:r>
              <w:rPr>
                <w:webHidden/>
              </w:rPr>
              <w:instrText xml:space="preserve">PAGEREF _Toc215218257 \h</w:instrText>
            </w:r>
            <w:r>
              <w:rPr>
                <w:webHidden/>
              </w:rPr>
              <w:fldChar w:fldCharType="separate"/>
            </w:r>
            <w:r>
              <w:rPr>
                <w:rStyle w:val="Saltoaindice"/>
                <w:b/>
                <w:bCs/>
                <w:vanish w:val="false"/>
              </w:rPr>
              <w:tab/>
              <w:t>16</w:t>
            </w:r>
            <w:r>
              <w:rPr>
                <w:webHidden/>
              </w:rPr>
              <w:fldChar w:fldCharType="end"/>
            </w:r>
          </w:hyperlink>
        </w:p>
        <w:p>
          <w:pPr>
            <w:pStyle w:val="Indice2"/>
            <w:tabs>
              <w:tab w:val="clear" w:pos="720"/>
              <w:tab w:val="right" w:pos="9730" w:leader="dot"/>
            </w:tabs>
            <w:rPr>
              <w:b/>
              <w:b/>
              <w:bCs/>
              <w:lang w:eastAsia="it-IT"/>
            </w:rPr>
          </w:pPr>
          <w:hyperlink w:anchor="_Toc215218258">
            <w:r>
              <w:rPr>
                <w:webHidden/>
                <w:rStyle w:val="Saltoaindice"/>
                <w:rFonts w:cs="Times New Roman" w:ascii="Titillium Web" w:hAnsi="Titillium Web"/>
                <w:b/>
                <w:bCs/>
              </w:rPr>
              <w:t>4.2</w:t>
            </w:r>
            <w:r>
              <w:rPr>
                <w:rStyle w:val="Saltoaindice"/>
                <w:b/>
                <w:bCs/>
                <w:lang w:eastAsia="it-IT"/>
              </w:rPr>
              <w:tab/>
            </w:r>
            <w:r>
              <w:rPr>
                <w:rStyle w:val="Saltoaindice"/>
                <w:rFonts w:cs="Times New Roman" w:ascii="Titillium Web" w:hAnsi="Titillium Web"/>
                <w:b/>
                <w:bCs/>
              </w:rPr>
              <w:t>Modalità di presentazione della domanda</w:t>
            </w:r>
            <w:r>
              <w:rPr>
                <w:webHidden/>
              </w:rPr>
              <w:fldChar w:fldCharType="begin"/>
            </w:r>
            <w:r>
              <w:rPr>
                <w:webHidden/>
              </w:rPr>
              <w:instrText xml:space="preserve">PAGEREF _Toc215218258 \h</w:instrText>
            </w:r>
            <w:r>
              <w:rPr>
                <w:webHidden/>
              </w:rPr>
              <w:fldChar w:fldCharType="separate"/>
            </w:r>
            <w:r>
              <w:rPr>
                <w:rStyle w:val="Saltoaindice"/>
                <w:b/>
                <w:bCs/>
                <w:vanish w:val="false"/>
              </w:rPr>
              <w:tab/>
              <w:t>16</w:t>
            </w:r>
            <w:r>
              <w:rPr>
                <w:webHidden/>
              </w:rPr>
              <w:fldChar w:fldCharType="end"/>
            </w:r>
          </w:hyperlink>
        </w:p>
        <w:p>
          <w:pPr>
            <w:pStyle w:val="Indice2"/>
            <w:tabs>
              <w:tab w:val="clear" w:pos="720"/>
              <w:tab w:val="right" w:pos="9730" w:leader="dot"/>
            </w:tabs>
            <w:rPr>
              <w:lang w:eastAsia="it-IT"/>
            </w:rPr>
          </w:pPr>
          <w:hyperlink w:anchor="_Toc215218259">
            <w:r>
              <w:rPr>
                <w:webHidden/>
                <w:rStyle w:val="Saltoaindice"/>
                <w:rFonts w:cs="Times New Roman" w:ascii="Titillium Web" w:hAnsi="Titillium Web"/>
                <w:b/>
                <w:bCs/>
              </w:rPr>
              <w:t>4.3</w:t>
            </w:r>
            <w:r>
              <w:rPr>
                <w:rStyle w:val="Saltoaindice"/>
                <w:b/>
                <w:bCs/>
                <w:lang w:eastAsia="it-IT"/>
              </w:rPr>
              <w:tab/>
            </w:r>
            <w:r>
              <w:rPr>
                <w:rStyle w:val="Saltoaindice"/>
                <w:rFonts w:cs="Times New Roman" w:ascii="Titillium Web" w:hAnsi="Titillium Web"/>
                <w:b/>
                <w:bCs/>
              </w:rPr>
              <w:t>Termini di presentazione della domanda di aiuto</w:t>
            </w:r>
            <w:r>
              <w:rPr>
                <w:webHidden/>
              </w:rPr>
              <w:fldChar w:fldCharType="begin"/>
            </w:r>
            <w:r>
              <w:rPr>
                <w:webHidden/>
              </w:rPr>
              <w:instrText xml:space="preserve">PAGEREF _Toc215218259 \h</w:instrText>
            </w:r>
            <w:r>
              <w:rPr>
                <w:webHidden/>
              </w:rPr>
              <w:fldChar w:fldCharType="separate"/>
            </w:r>
            <w:r>
              <w:rPr>
                <w:rStyle w:val="Saltoaindice"/>
                <w:b/>
                <w:bCs/>
                <w:vanish w:val="false"/>
              </w:rPr>
              <w:tab/>
              <w:t>16</w:t>
            </w:r>
            <w:r>
              <w:rPr>
                <w:webHidden/>
              </w:rPr>
              <w:fldChar w:fldCharType="end"/>
            </w:r>
          </w:hyperlink>
        </w:p>
        <w:p>
          <w:pPr>
            <w:pStyle w:val="Indice2"/>
            <w:tabs>
              <w:tab w:val="clear" w:pos="720"/>
              <w:tab w:val="right" w:pos="9730" w:leader="dot"/>
            </w:tabs>
            <w:rPr>
              <w:b/>
              <w:b/>
              <w:bCs/>
              <w:lang w:eastAsia="it-IT"/>
            </w:rPr>
          </w:pPr>
          <w:hyperlink w:anchor="_Toc215218260">
            <w:r>
              <w:rPr>
                <w:webHidden/>
                <w:rStyle w:val="Saltoaindice"/>
                <w:rFonts w:cs="Times New Roman" w:ascii="Aptos" w:hAnsi="Aptos"/>
                <w:b/>
                <w:bCs/>
              </w:rPr>
              <w:t>4.4</w:t>
            </w:r>
            <w:r>
              <w:rPr>
                <w:rStyle w:val="Saltoaindice"/>
                <w:b/>
                <w:bCs/>
                <w:lang w:eastAsia="it-IT"/>
              </w:rPr>
              <w:tab/>
            </w:r>
            <w:r>
              <w:rPr>
                <w:rStyle w:val="Saltoaindice"/>
                <w:rFonts w:cs="Times New Roman" w:ascii="Titillium Web" w:hAnsi="Titillium Web"/>
                <w:b/>
                <w:bCs/>
              </w:rPr>
              <w:t>Documentazione</w:t>
            </w:r>
            <w:r>
              <w:rPr>
                <w:rStyle w:val="Saltoaindice"/>
                <w:rFonts w:cs="Times New Roman" w:ascii="Aptos" w:hAnsi="Aptos"/>
                <w:b/>
                <w:bCs/>
              </w:rPr>
              <w:t xml:space="preserve"> da allegare alla domanda</w:t>
            </w:r>
            <w:r>
              <w:rPr>
                <w:webHidden/>
              </w:rPr>
              <w:fldChar w:fldCharType="begin"/>
            </w:r>
            <w:r>
              <w:rPr>
                <w:webHidden/>
              </w:rPr>
              <w:instrText xml:space="preserve">PAGEREF _Toc215218260 \h</w:instrText>
            </w:r>
            <w:r>
              <w:rPr>
                <w:webHidden/>
              </w:rPr>
              <w:fldChar w:fldCharType="separate"/>
            </w:r>
            <w:r>
              <w:rPr>
                <w:rStyle w:val="Saltoaindice"/>
                <w:b/>
                <w:bCs/>
                <w:vanish w:val="false"/>
              </w:rPr>
              <w:tab/>
              <w:t>16</w:t>
            </w:r>
            <w:r>
              <w:rPr>
                <w:webHidden/>
              </w:rPr>
              <w:fldChar w:fldCharType="end"/>
            </w:r>
          </w:hyperlink>
        </w:p>
        <w:p>
          <w:pPr>
            <w:pStyle w:val="Indice2"/>
            <w:tabs>
              <w:tab w:val="clear" w:pos="720"/>
              <w:tab w:val="right" w:pos="9730" w:leader="dot"/>
            </w:tabs>
            <w:rPr>
              <w:b/>
              <w:b/>
              <w:bCs/>
              <w:lang w:eastAsia="it-IT"/>
            </w:rPr>
          </w:pPr>
          <w:hyperlink w:anchor="_Toc215218261">
            <w:r>
              <w:rPr>
                <w:webHidden/>
                <w:rStyle w:val="Saltoaindice"/>
                <w:rFonts w:cs="Times New Roman" w:ascii="Titillium Web" w:hAnsi="Titillium Web"/>
                <w:b/>
                <w:bCs/>
              </w:rPr>
              <w:t>4.5</w:t>
            </w:r>
            <w:r>
              <w:rPr>
                <w:rStyle w:val="Saltoaindice"/>
                <w:b/>
                <w:bCs/>
                <w:lang w:eastAsia="it-IT"/>
              </w:rPr>
              <w:tab/>
            </w:r>
            <w:r>
              <w:rPr>
                <w:rStyle w:val="Saltoaindice"/>
                <w:rFonts w:cs="Times New Roman" w:ascii="Titillium Web" w:hAnsi="Titillium Web"/>
                <w:b/>
                <w:bCs/>
              </w:rPr>
              <w:t>Modalità di valutazione della domanda</w:t>
            </w:r>
            <w:r>
              <w:rPr>
                <w:webHidden/>
              </w:rPr>
              <w:fldChar w:fldCharType="begin"/>
            </w:r>
            <w:r>
              <w:rPr>
                <w:webHidden/>
              </w:rPr>
              <w:instrText xml:space="preserve">PAGEREF _Toc215218261 \h</w:instrText>
            </w:r>
            <w:r>
              <w:rPr>
                <w:webHidden/>
              </w:rPr>
              <w:fldChar w:fldCharType="separate"/>
            </w:r>
            <w:r>
              <w:rPr>
                <w:rStyle w:val="Saltoaindice"/>
                <w:b/>
                <w:bCs/>
                <w:vanish w:val="false"/>
              </w:rPr>
              <w:tab/>
              <w:t>17</w:t>
            </w:r>
            <w:r>
              <w:rPr>
                <w:webHidden/>
              </w:rPr>
              <w:fldChar w:fldCharType="end"/>
            </w:r>
          </w:hyperlink>
        </w:p>
        <w:p>
          <w:pPr>
            <w:pStyle w:val="Indice2"/>
            <w:tabs>
              <w:tab w:val="clear" w:pos="720"/>
              <w:tab w:val="right" w:pos="9730" w:leader="dot"/>
            </w:tabs>
            <w:ind w:left="930" w:hanging="658"/>
            <w:rPr>
              <w:b/>
              <w:b/>
              <w:bCs/>
              <w:lang w:eastAsia="it-IT"/>
            </w:rPr>
          </w:pPr>
          <w:hyperlink w:anchor="_Toc215218262">
            <w:r>
              <w:rPr>
                <w:webHidden/>
                <w:rStyle w:val="Saltoaindice"/>
                <w:rFonts w:cs="Times New Roman" w:ascii="Titillium Web" w:hAnsi="Titillium Web"/>
                <w:b/>
                <w:bCs/>
              </w:rPr>
              <w:t>4.6</w:t>
            </w:r>
            <w:r>
              <w:rPr>
                <w:rStyle w:val="Saltoaindice"/>
                <w:b/>
                <w:bCs/>
                <w:lang w:eastAsia="it-IT"/>
              </w:rPr>
              <w:tab/>
            </w:r>
            <w:r>
              <w:rPr>
                <w:rStyle w:val="Saltoaindice"/>
                <w:rFonts w:cs="Times New Roman" w:ascii="Titillium Web" w:hAnsi="Titillium Web"/>
                <w:b/>
                <w:bCs/>
              </w:rPr>
              <w:t>Criteri di valutazione e attribuzione dei punteggi</w:t>
            </w:r>
            <w:r>
              <w:rPr>
                <w:webHidden/>
              </w:rPr>
              <w:fldChar w:fldCharType="begin"/>
            </w:r>
            <w:r>
              <w:rPr>
                <w:webHidden/>
              </w:rPr>
              <w:instrText xml:space="preserve">PAGEREF _Toc215218262 \h</w:instrText>
            </w:r>
            <w:r>
              <w:rPr>
                <w:webHidden/>
              </w:rPr>
              <w:fldChar w:fldCharType="separate"/>
            </w:r>
            <w:r>
              <w:rPr>
                <w:rStyle w:val="Saltoaindice"/>
                <w:b/>
                <w:bCs/>
                <w:vanish w:val="false"/>
              </w:rPr>
              <w:tab/>
              <w:t>17</w:t>
            </w:r>
            <w:r>
              <w:rPr>
                <w:webHidden/>
              </w:rPr>
              <w:fldChar w:fldCharType="end"/>
            </w:r>
          </w:hyperlink>
        </w:p>
        <w:p>
          <w:pPr>
            <w:pStyle w:val="Indice2"/>
            <w:tabs>
              <w:tab w:val="clear" w:pos="720"/>
              <w:tab w:val="right" w:pos="9730" w:leader="dot"/>
            </w:tabs>
            <w:ind w:left="930" w:hanging="658"/>
            <w:rPr>
              <w:b/>
              <w:b/>
              <w:bCs/>
              <w:lang w:eastAsia="it-IT"/>
            </w:rPr>
          </w:pPr>
          <w:hyperlink w:anchor="_Toc215218263">
            <w:r>
              <w:rPr>
                <w:webHidden/>
                <w:rStyle w:val="Saltoaindice"/>
                <w:rFonts w:cs="Times New Roman" w:ascii="Titillium Web" w:hAnsi="Titillium Web"/>
                <w:b/>
                <w:bCs/>
              </w:rPr>
              <w:t>4.7</w:t>
            </w:r>
            <w:r>
              <w:rPr>
                <w:rStyle w:val="Saltoaindice"/>
                <w:b/>
                <w:bCs/>
                <w:lang w:eastAsia="it-IT"/>
              </w:rPr>
              <w:tab/>
            </w:r>
            <w:r>
              <w:rPr>
                <w:rStyle w:val="Saltoaindice"/>
                <w:rFonts w:cs="Times New Roman" w:ascii="Titillium Web" w:hAnsi="Titillium Web"/>
                <w:b/>
                <w:bCs/>
              </w:rPr>
              <w:t>Approvazione provvisoria degli esiti della valutazione</w:t>
            </w:r>
            <w:r>
              <w:rPr>
                <w:webHidden/>
              </w:rPr>
              <w:fldChar w:fldCharType="begin"/>
            </w:r>
            <w:r>
              <w:rPr>
                <w:webHidden/>
              </w:rPr>
              <w:instrText xml:space="preserve">PAGEREF _Toc215218263 \h</w:instrText>
            </w:r>
            <w:r>
              <w:rPr>
                <w:webHidden/>
              </w:rPr>
              <w:fldChar w:fldCharType="separate"/>
            </w:r>
            <w:r>
              <w:rPr>
                <w:rStyle w:val="Saltoaindice"/>
                <w:b/>
                <w:bCs/>
                <w:vanish w:val="false"/>
              </w:rPr>
              <w:tab/>
              <w:t>18</w:t>
            </w:r>
            <w:r>
              <w:rPr>
                <w:webHidden/>
              </w:rPr>
              <w:fldChar w:fldCharType="end"/>
            </w:r>
          </w:hyperlink>
        </w:p>
        <w:p>
          <w:pPr>
            <w:pStyle w:val="Indice2"/>
            <w:tabs>
              <w:tab w:val="clear" w:pos="720"/>
              <w:tab w:val="right" w:pos="9730" w:leader="dot"/>
            </w:tabs>
            <w:rPr>
              <w:lang w:eastAsia="it-IT"/>
            </w:rPr>
          </w:pPr>
          <w:hyperlink w:anchor="_Toc215218264">
            <w:r>
              <w:rPr>
                <w:webHidden/>
                <w:rStyle w:val="Saltoaindice"/>
                <w:rFonts w:cs="Times New Roman" w:ascii="Titillium Web" w:hAnsi="Titillium Web"/>
                <w:b/>
                <w:bCs/>
              </w:rPr>
              <w:t>4.8</w:t>
            </w:r>
            <w:r>
              <w:rPr>
                <w:rStyle w:val="Saltoaindice"/>
                <w:b/>
                <w:bCs/>
                <w:lang w:eastAsia="it-IT"/>
              </w:rPr>
              <w:tab/>
            </w:r>
            <w:r>
              <w:rPr>
                <w:rStyle w:val="Saltoaindice"/>
                <w:rFonts w:cs="Times New Roman" w:ascii="Titillium Web" w:hAnsi="Titillium Web"/>
                <w:b/>
                <w:bCs/>
              </w:rPr>
              <w:t>Pubblicazione degli esiti della valutazione e finanziamento dell’operazione</w:t>
            </w:r>
            <w:r>
              <w:rPr>
                <w:webHidden/>
              </w:rPr>
              <w:fldChar w:fldCharType="begin"/>
            </w:r>
            <w:r>
              <w:rPr>
                <w:webHidden/>
              </w:rPr>
              <w:instrText xml:space="preserve">PAGEREF _Toc215218264 \h</w:instrText>
            </w:r>
            <w:r>
              <w:rPr>
                <w:webHidden/>
              </w:rPr>
              <w:fldChar w:fldCharType="separate"/>
            </w:r>
            <w:r>
              <w:rPr>
                <w:rStyle w:val="Saltoaindice"/>
                <w:b/>
                <w:bCs/>
                <w:vanish w:val="false"/>
              </w:rPr>
              <w:tab/>
              <w:t>18</w:t>
            </w:r>
            <w:r>
              <w:rPr>
                <w:webHidden/>
              </w:rPr>
              <w:fldChar w:fldCharType="end"/>
            </w:r>
          </w:hyperlink>
        </w:p>
        <w:p>
          <w:pPr>
            <w:pStyle w:val="Indice2"/>
            <w:tabs>
              <w:tab w:val="clear" w:pos="720"/>
              <w:tab w:val="right" w:pos="9730" w:leader="dot"/>
            </w:tabs>
            <w:rPr>
              <w:b/>
              <w:b/>
              <w:bCs/>
              <w:lang w:eastAsia="it-IT"/>
            </w:rPr>
          </w:pPr>
          <w:hyperlink w:anchor="_Toc215218265">
            <w:r>
              <w:rPr>
                <w:webHidden/>
                <w:rStyle w:val="Saltoaindice"/>
                <w:rFonts w:cs="Times New Roman" w:ascii="Titillium Web" w:hAnsi="Titillium Web"/>
                <w:b/>
                <w:bCs/>
              </w:rPr>
              <w:t>4.9</w:t>
            </w:r>
            <w:r>
              <w:rPr>
                <w:rStyle w:val="Saltoaindice"/>
                <w:b/>
                <w:bCs/>
                <w:lang w:eastAsia="it-IT"/>
              </w:rPr>
              <w:tab/>
            </w:r>
            <w:r>
              <w:rPr>
                <w:rStyle w:val="Saltoaindice"/>
                <w:rFonts w:cs="Times New Roman" w:ascii="Titillium Web" w:hAnsi="Titillium Web"/>
                <w:b/>
                <w:bCs/>
              </w:rPr>
              <w:t>Comunicazione ai richiedenti degli esiti della selezione e adempimenti conseguenti</w:t>
            </w:r>
            <w:r>
              <w:rPr>
                <w:webHidden/>
              </w:rPr>
              <w:fldChar w:fldCharType="begin"/>
            </w:r>
            <w:r>
              <w:rPr>
                <w:webHidden/>
              </w:rPr>
              <w:instrText xml:space="preserve">PAGEREF _Toc215218265 \h</w:instrText>
            </w:r>
            <w:r>
              <w:rPr>
                <w:webHidden/>
              </w:rPr>
              <w:fldChar w:fldCharType="separate"/>
            </w:r>
            <w:r>
              <w:rPr>
                <w:rStyle w:val="Saltoaindice"/>
                <w:b/>
                <w:bCs/>
                <w:vanish w:val="false"/>
              </w:rPr>
              <w:tab/>
              <w:t>19</w:t>
            </w:r>
            <w:r>
              <w:rPr>
                <w:webHidden/>
              </w:rPr>
              <w:fldChar w:fldCharType="end"/>
            </w:r>
          </w:hyperlink>
        </w:p>
        <w:p>
          <w:pPr>
            <w:pStyle w:val="Indice2"/>
            <w:tabs>
              <w:tab w:val="clear" w:pos="720"/>
              <w:tab w:val="left" w:pos="933" w:leader="none"/>
              <w:tab w:val="right" w:pos="9730" w:leader="dot"/>
            </w:tabs>
            <w:rPr>
              <w:b/>
              <w:b/>
              <w:bCs/>
              <w:lang w:eastAsia="it-IT"/>
            </w:rPr>
          </w:pPr>
          <w:hyperlink w:anchor="_Toc215218266">
            <w:r>
              <w:rPr>
                <w:webHidden/>
                <w:rStyle w:val="Saltoaindice"/>
                <w:rFonts w:cs="Times New Roman" w:ascii="Titillium Web" w:hAnsi="Titillium Web"/>
                <w:b/>
                <w:bCs/>
              </w:rPr>
              <w:t>4.10</w:t>
            </w:r>
            <w:r>
              <w:rPr>
                <w:rStyle w:val="Saltoaindice"/>
                <w:b/>
                <w:bCs/>
                <w:lang w:eastAsia="it-IT"/>
              </w:rPr>
              <w:tab/>
            </w:r>
            <w:r>
              <w:rPr>
                <w:rStyle w:val="Saltoaindice"/>
                <w:rFonts w:cs="Times New Roman" w:ascii="Titillium Web" w:hAnsi="Titillium Web"/>
                <w:b/>
                <w:bCs/>
              </w:rPr>
              <w:t>Sottoscrizione dell’Atto di Adesione ed Obbligo e produzione della documentazione richie..</w:t>
            </w:r>
            <w:r>
              <w:rPr>
                <w:webHidden/>
              </w:rPr>
              <w:fldChar w:fldCharType="begin"/>
            </w:r>
            <w:r>
              <w:rPr>
                <w:webHidden/>
              </w:rPr>
              <w:instrText xml:space="preserve">PAGEREF _Toc215218266 \h</w:instrText>
            </w:r>
            <w:r>
              <w:rPr>
                <w:webHidden/>
              </w:rPr>
              <w:fldChar w:fldCharType="separate"/>
            </w:r>
            <w:r>
              <w:rPr>
                <w:rStyle w:val="Saltoaindice"/>
                <w:b/>
                <w:bCs/>
                <w:vanish w:val="false"/>
              </w:rPr>
              <w:t>19</w:t>
            </w:r>
            <w:r>
              <w:rPr>
                <w:webHidden/>
              </w:rPr>
              <w:fldChar w:fldCharType="end"/>
            </w:r>
          </w:hyperlink>
        </w:p>
        <w:p>
          <w:pPr>
            <w:pStyle w:val="Indice2"/>
            <w:tabs>
              <w:tab w:val="clear" w:pos="720"/>
              <w:tab w:val="left" w:pos="933" w:leader="none"/>
              <w:tab w:val="right" w:pos="9730" w:leader="dot"/>
            </w:tabs>
            <w:rPr>
              <w:b/>
              <w:b/>
              <w:bCs/>
              <w:lang w:eastAsia="it-IT"/>
            </w:rPr>
          </w:pPr>
          <w:hyperlink w:anchor="_Toc215218267">
            <w:r>
              <w:rPr>
                <w:webHidden/>
                <w:rStyle w:val="Saltoaindice"/>
                <w:rFonts w:cs="Times New Roman" w:ascii="Titillium Web" w:hAnsi="Titillium Web"/>
                <w:b/>
                <w:bCs/>
              </w:rPr>
              <w:t>4.11</w:t>
            </w:r>
            <w:r>
              <w:rPr>
                <w:rStyle w:val="Saltoaindice"/>
                <w:b/>
                <w:bCs/>
                <w:lang w:eastAsia="it-IT"/>
              </w:rPr>
              <w:tab/>
            </w:r>
            <w:r>
              <w:rPr>
                <w:rStyle w:val="Saltoaindice"/>
                <w:rFonts w:cs="Times New Roman" w:ascii="Titillium Web" w:hAnsi="Titillium Web"/>
                <w:b/>
                <w:bCs/>
              </w:rPr>
              <w:t>Modalità di erogazione del contributo finanziario e relativa documentazione giustificativa</w:t>
            </w:r>
            <w:r>
              <w:rPr>
                <w:webHidden/>
              </w:rPr>
              <w:fldChar w:fldCharType="begin"/>
            </w:r>
            <w:r>
              <w:rPr>
                <w:webHidden/>
              </w:rPr>
              <w:instrText xml:space="preserve">PAGEREF _Toc215218267 \h</w:instrText>
            </w:r>
            <w:r>
              <w:rPr>
                <w:webHidden/>
              </w:rPr>
              <w:fldChar w:fldCharType="separate"/>
            </w:r>
            <w:r>
              <w:rPr>
                <w:rStyle w:val="Saltoaindice"/>
                <w:b/>
                <w:bCs/>
                <w:vanish w:val="false"/>
              </w:rPr>
              <w:tab/>
              <w:t>19</w:t>
            </w:r>
            <w:r>
              <w:rPr>
                <w:webHidden/>
              </w:rPr>
              <w:fldChar w:fldCharType="end"/>
            </w:r>
          </w:hyperlink>
        </w:p>
        <w:p>
          <w:pPr>
            <w:pStyle w:val="Indice2"/>
            <w:tabs>
              <w:tab w:val="clear" w:pos="720"/>
              <w:tab w:val="right" w:pos="9730" w:leader="dot"/>
            </w:tabs>
            <w:ind w:left="930" w:hanging="658"/>
            <w:rPr>
              <w:b/>
              <w:b/>
              <w:bCs/>
              <w:lang w:eastAsia="it-IT"/>
            </w:rPr>
          </w:pPr>
          <w:hyperlink w:anchor="_Toc215218268">
            <w:r>
              <w:rPr>
                <w:webHidden/>
                <w:rStyle w:val="Saltoaindice"/>
                <w:rFonts w:cs="Times New Roman" w:ascii="Titillium Web" w:hAnsi="Titillium Web"/>
                <w:b/>
                <w:bCs/>
              </w:rPr>
              <w:t xml:space="preserve">4.12 </w:t>
              <w:tab/>
              <w:t>Garanzia a copertura dell’anticipazione</w:t>
            </w:r>
            <w:r>
              <w:rPr>
                <w:webHidden/>
              </w:rPr>
              <w:fldChar w:fldCharType="begin"/>
            </w:r>
            <w:r>
              <w:rPr>
                <w:webHidden/>
              </w:rPr>
              <w:instrText xml:space="preserve">PAGEREF _Toc215218268 \h</w:instrText>
            </w:r>
            <w:r>
              <w:rPr>
                <w:webHidden/>
              </w:rPr>
              <w:fldChar w:fldCharType="separate"/>
            </w:r>
            <w:r>
              <w:rPr>
                <w:rStyle w:val="Saltoaindice"/>
                <w:b/>
                <w:bCs/>
                <w:vanish w:val="false"/>
              </w:rPr>
              <w:tab/>
              <w:t>21</w:t>
            </w:r>
            <w:r>
              <w:rPr>
                <w:webHidden/>
              </w:rPr>
              <w:fldChar w:fldCharType="end"/>
            </w:r>
          </w:hyperlink>
        </w:p>
        <w:p>
          <w:pPr>
            <w:pStyle w:val="Indice2"/>
            <w:tabs>
              <w:tab w:val="clear" w:pos="720"/>
              <w:tab w:val="left" w:pos="933" w:leader="none"/>
              <w:tab w:val="right" w:pos="9730" w:leader="dot"/>
            </w:tabs>
            <w:rPr>
              <w:b/>
              <w:b/>
              <w:bCs/>
              <w:lang w:eastAsia="it-IT"/>
            </w:rPr>
          </w:pPr>
          <w:hyperlink w:anchor="_Toc215218269">
            <w:r>
              <w:rPr>
                <w:webHidden/>
                <w:rStyle w:val="Saltoaindice"/>
                <w:rFonts w:cs="Times New Roman" w:ascii="Titillium Web" w:hAnsi="Titillium Web"/>
                <w:b/>
                <w:bCs/>
              </w:rPr>
              <w:t>4.13</w:t>
            </w:r>
            <w:r>
              <w:rPr>
                <w:rStyle w:val="Saltoaindice"/>
                <w:b/>
                <w:bCs/>
                <w:lang w:eastAsia="it-IT"/>
              </w:rPr>
              <w:tab/>
            </w:r>
            <w:r>
              <w:rPr>
                <w:rStyle w:val="Saltoaindice"/>
                <w:rFonts w:cs="Times New Roman" w:ascii="Titillium Web" w:hAnsi="Titillium Web"/>
                <w:b/>
                <w:bCs/>
              </w:rPr>
              <w:t>Obblighi del beneficiario, controlli e revoche</w:t>
            </w:r>
            <w:r>
              <w:rPr>
                <w:webHidden/>
              </w:rPr>
              <w:fldChar w:fldCharType="begin"/>
            </w:r>
            <w:r>
              <w:rPr>
                <w:webHidden/>
              </w:rPr>
              <w:instrText xml:space="preserve">PAGEREF _Toc215218269 \h</w:instrText>
            </w:r>
            <w:r>
              <w:rPr>
                <w:webHidden/>
              </w:rPr>
              <w:fldChar w:fldCharType="separate"/>
            </w:r>
            <w:r>
              <w:rPr>
                <w:rStyle w:val="Saltoaindice"/>
                <w:b/>
                <w:bCs/>
                <w:vanish w:val="false"/>
              </w:rPr>
              <w:tab/>
              <w:t>21</w:t>
            </w:r>
            <w:r>
              <w:rPr>
                <w:webHidden/>
              </w:rPr>
              <w:fldChar w:fldCharType="end"/>
            </w:r>
          </w:hyperlink>
        </w:p>
        <w:p>
          <w:pPr>
            <w:pStyle w:val="Indice2"/>
            <w:tabs>
              <w:tab w:val="clear" w:pos="720"/>
              <w:tab w:val="left" w:pos="933" w:leader="none"/>
              <w:tab w:val="right" w:pos="9730" w:leader="dot"/>
            </w:tabs>
            <w:rPr>
              <w:b/>
              <w:b/>
              <w:bCs/>
              <w:lang w:eastAsia="it-IT"/>
            </w:rPr>
          </w:pPr>
          <w:hyperlink w:anchor="_Toc215218270">
            <w:r>
              <w:rPr>
                <w:webHidden/>
                <w:rStyle w:val="Saltoaindice"/>
                <w:rFonts w:cs="Times New Roman" w:ascii="Titillium Web" w:hAnsi="Titillium Web"/>
                <w:b/>
                <w:bCs/>
              </w:rPr>
              <w:t>4.14</w:t>
            </w:r>
            <w:r>
              <w:rPr>
                <w:rStyle w:val="Saltoaindice"/>
                <w:b/>
                <w:bCs/>
                <w:lang w:eastAsia="it-IT"/>
              </w:rPr>
              <w:tab/>
            </w:r>
            <w:r>
              <w:rPr>
                <w:rStyle w:val="Saltoaindice"/>
                <w:rFonts w:cs="Times New Roman" w:ascii="Titillium Web" w:hAnsi="Titillium Web"/>
                <w:b/>
                <w:bCs/>
              </w:rPr>
              <w:t>Controlli</w:t>
            </w:r>
            <w:r>
              <w:rPr>
                <w:webHidden/>
              </w:rPr>
              <w:fldChar w:fldCharType="begin"/>
            </w:r>
            <w:r>
              <w:rPr>
                <w:webHidden/>
              </w:rPr>
              <w:instrText xml:space="preserve">PAGEREF _Toc215218270 \h</w:instrText>
            </w:r>
            <w:r>
              <w:rPr>
                <w:webHidden/>
              </w:rPr>
              <w:fldChar w:fldCharType="separate"/>
            </w:r>
            <w:r>
              <w:rPr>
                <w:rStyle w:val="Saltoaindice"/>
                <w:b/>
                <w:bCs/>
                <w:vanish w:val="false"/>
              </w:rPr>
              <w:tab/>
              <w:t>23</w:t>
            </w:r>
            <w:r>
              <w:rPr>
                <w:webHidden/>
              </w:rPr>
              <w:fldChar w:fldCharType="end"/>
            </w:r>
          </w:hyperlink>
        </w:p>
        <w:p>
          <w:pPr>
            <w:pStyle w:val="Indice2"/>
            <w:tabs>
              <w:tab w:val="clear" w:pos="720"/>
              <w:tab w:val="left" w:pos="933" w:leader="none"/>
              <w:tab w:val="right" w:pos="9730" w:leader="dot"/>
            </w:tabs>
            <w:rPr>
              <w:b/>
              <w:b/>
              <w:bCs/>
              <w:lang w:eastAsia="it-IT"/>
            </w:rPr>
          </w:pPr>
          <w:hyperlink w:anchor="_Toc215218271">
            <w:r>
              <w:rPr>
                <w:webHidden/>
                <w:rStyle w:val="Saltoaindice"/>
                <w:rFonts w:cs="Times New Roman" w:ascii="Titillium Web" w:hAnsi="Titillium Web"/>
                <w:b/>
                <w:bCs/>
                <w:spacing w:val="-2"/>
              </w:rPr>
              <w:t>4.15</w:t>
            </w:r>
            <w:r>
              <w:rPr>
                <w:rStyle w:val="Saltoaindice"/>
                <w:b/>
                <w:bCs/>
                <w:lang w:eastAsia="it-IT"/>
              </w:rPr>
              <w:tab/>
            </w:r>
            <w:r>
              <w:rPr>
                <w:rStyle w:val="Saltoaindice"/>
                <w:rFonts w:cs="Times New Roman" w:ascii="Titillium Web" w:hAnsi="Titillium Web"/>
                <w:b/>
                <w:bCs/>
              </w:rPr>
              <w:t>Variazioni</w:t>
            </w:r>
            <w:r>
              <w:rPr>
                <w:rStyle w:val="Saltoaindice"/>
                <w:rFonts w:cs="Times New Roman" w:ascii="Titillium Web" w:hAnsi="Titillium Web"/>
                <w:b/>
                <w:bCs/>
                <w:spacing w:val="-6"/>
              </w:rPr>
              <w:t xml:space="preserve"> </w:t>
            </w:r>
            <w:r>
              <w:rPr>
                <w:rStyle w:val="Saltoaindice"/>
                <w:rFonts w:cs="Times New Roman" w:ascii="Titillium Web" w:hAnsi="Titillium Web"/>
                <w:b/>
                <w:bCs/>
              </w:rPr>
              <w:t>all’operazione</w:t>
            </w:r>
            <w:r>
              <w:rPr>
                <w:rStyle w:val="Saltoaindice"/>
                <w:rFonts w:cs="Times New Roman" w:ascii="Titillium Web" w:hAnsi="Titillium Web"/>
                <w:b/>
                <w:bCs/>
                <w:spacing w:val="-7"/>
              </w:rPr>
              <w:t xml:space="preserve"> </w:t>
            </w:r>
            <w:r>
              <w:rPr>
                <w:rStyle w:val="Saltoaindice"/>
                <w:rFonts w:cs="Times New Roman" w:ascii="Titillium Web" w:hAnsi="Titillium Web"/>
                <w:b/>
                <w:bCs/>
                <w:spacing w:val="-2"/>
              </w:rPr>
              <w:t>finanziata</w:t>
            </w:r>
            <w:r>
              <w:rPr>
                <w:webHidden/>
              </w:rPr>
              <w:fldChar w:fldCharType="begin"/>
            </w:r>
            <w:r>
              <w:rPr>
                <w:webHidden/>
              </w:rPr>
              <w:instrText xml:space="preserve">PAGEREF _Toc215218271 \h</w:instrText>
            </w:r>
            <w:r>
              <w:rPr>
                <w:webHidden/>
              </w:rPr>
              <w:fldChar w:fldCharType="separate"/>
            </w:r>
            <w:r>
              <w:rPr>
                <w:rStyle w:val="Saltoaindice"/>
                <w:b/>
                <w:bCs/>
                <w:vanish w:val="false"/>
              </w:rPr>
              <w:tab/>
              <w:t>23</w:t>
            </w:r>
            <w:r>
              <w:rPr>
                <w:webHidden/>
              </w:rPr>
              <w:fldChar w:fldCharType="end"/>
            </w:r>
          </w:hyperlink>
        </w:p>
        <w:p>
          <w:pPr>
            <w:pStyle w:val="Indice2"/>
            <w:tabs>
              <w:tab w:val="clear" w:pos="720"/>
              <w:tab w:val="left" w:pos="933" w:leader="none"/>
              <w:tab w:val="right" w:pos="9730" w:leader="dot"/>
            </w:tabs>
            <w:rPr>
              <w:b/>
              <w:b/>
              <w:bCs/>
              <w:lang w:eastAsia="it-IT"/>
            </w:rPr>
          </w:pPr>
          <w:hyperlink w:anchor="_Toc215218272">
            <w:r>
              <w:rPr>
                <w:webHidden/>
                <w:rStyle w:val="Saltoaindice"/>
                <w:rFonts w:cs="Times New Roman" w:ascii="Titillium Web" w:hAnsi="Titillium Web"/>
                <w:b/>
                <w:bCs/>
              </w:rPr>
              <w:t>4.16</w:t>
            </w:r>
            <w:r>
              <w:rPr>
                <w:rStyle w:val="Saltoaindice"/>
                <w:b/>
                <w:bCs/>
                <w:lang w:eastAsia="it-IT"/>
              </w:rPr>
              <w:tab/>
            </w:r>
            <w:r>
              <w:rPr>
                <w:rStyle w:val="Saltoaindice"/>
                <w:rFonts w:cs="Times New Roman" w:ascii="Titillium Web" w:hAnsi="Titillium Web"/>
                <w:b/>
                <w:bCs/>
              </w:rPr>
              <w:t>Cause di decadenza</w:t>
            </w:r>
            <w:r>
              <w:rPr>
                <w:webHidden/>
              </w:rPr>
              <w:fldChar w:fldCharType="begin"/>
            </w:r>
            <w:r>
              <w:rPr>
                <w:webHidden/>
              </w:rPr>
              <w:instrText xml:space="preserve">PAGEREF _Toc215218272 \h</w:instrText>
            </w:r>
            <w:r>
              <w:rPr>
                <w:webHidden/>
              </w:rPr>
              <w:fldChar w:fldCharType="separate"/>
            </w:r>
            <w:r>
              <w:rPr>
                <w:rStyle w:val="Saltoaindice"/>
                <w:b/>
                <w:bCs/>
                <w:vanish w:val="false"/>
              </w:rPr>
              <w:tab/>
              <w:t>23</w:t>
            </w:r>
            <w:r>
              <w:rPr>
                <w:webHidden/>
              </w:rPr>
              <w:fldChar w:fldCharType="end"/>
            </w:r>
          </w:hyperlink>
        </w:p>
        <w:p>
          <w:pPr>
            <w:pStyle w:val="Indice2"/>
            <w:tabs>
              <w:tab w:val="clear" w:pos="720"/>
              <w:tab w:val="left" w:pos="933" w:leader="none"/>
              <w:tab w:val="right" w:pos="9730" w:leader="dot"/>
            </w:tabs>
            <w:rPr>
              <w:b/>
              <w:b/>
              <w:bCs/>
              <w:lang w:eastAsia="it-IT"/>
            </w:rPr>
          </w:pPr>
          <w:hyperlink w:anchor="_Toc215218273">
            <w:r>
              <w:rPr>
                <w:webHidden/>
                <w:rStyle w:val="Saltoaindice"/>
                <w:rFonts w:cs="Times New Roman" w:ascii="Titillium Web" w:hAnsi="Titillium Web"/>
                <w:b/>
                <w:bCs/>
              </w:rPr>
              <w:t>4.17</w:t>
            </w:r>
            <w:r>
              <w:rPr>
                <w:rStyle w:val="Saltoaindice"/>
                <w:b/>
                <w:bCs/>
                <w:lang w:eastAsia="it-IT"/>
              </w:rPr>
              <w:tab/>
            </w:r>
            <w:r>
              <w:rPr>
                <w:rStyle w:val="Saltoaindice"/>
                <w:rFonts w:cs="Times New Roman" w:ascii="Titillium Web" w:hAnsi="Titillium Web"/>
                <w:b/>
                <w:bCs/>
              </w:rPr>
              <w:t>Revoca del contributo</w:t>
            </w:r>
            <w:r>
              <w:rPr>
                <w:webHidden/>
              </w:rPr>
              <w:fldChar w:fldCharType="begin"/>
            </w:r>
            <w:r>
              <w:rPr>
                <w:webHidden/>
              </w:rPr>
              <w:instrText xml:space="preserve">PAGEREF _Toc215218273 \h</w:instrText>
            </w:r>
            <w:r>
              <w:rPr>
                <w:webHidden/>
              </w:rPr>
              <w:fldChar w:fldCharType="separate"/>
            </w:r>
            <w:r>
              <w:rPr>
                <w:rStyle w:val="Saltoaindice"/>
                <w:b/>
                <w:bCs/>
                <w:vanish w:val="false"/>
              </w:rPr>
              <w:tab/>
              <w:t>24</w:t>
            </w:r>
            <w:r>
              <w:rPr>
                <w:webHidden/>
              </w:rPr>
              <w:fldChar w:fldCharType="end"/>
            </w:r>
          </w:hyperlink>
        </w:p>
        <w:p>
          <w:pPr>
            <w:pStyle w:val="Indice2"/>
            <w:tabs>
              <w:tab w:val="clear" w:pos="720"/>
              <w:tab w:val="left" w:pos="933" w:leader="none"/>
              <w:tab w:val="right" w:pos="9730" w:leader="dot"/>
            </w:tabs>
            <w:rPr>
              <w:lang w:eastAsia="it-IT"/>
            </w:rPr>
          </w:pPr>
          <w:hyperlink w:anchor="_Toc215218274">
            <w:r>
              <w:rPr>
                <w:webHidden/>
                <w:rStyle w:val="Saltoaindice"/>
                <w:rFonts w:cs="Times New Roman" w:ascii="Titillium Web" w:hAnsi="Titillium Web"/>
                <w:b/>
                <w:bCs/>
              </w:rPr>
              <w:t>4.18</w:t>
            </w:r>
            <w:r>
              <w:rPr>
                <w:rStyle w:val="Saltoaindice"/>
                <w:b/>
                <w:bCs/>
                <w:lang w:eastAsia="it-IT"/>
              </w:rPr>
              <w:tab/>
            </w:r>
            <w:r>
              <w:rPr>
                <w:rStyle w:val="Saltoaindice"/>
                <w:rFonts w:cs="Times New Roman" w:ascii="Titillium Web" w:hAnsi="Titillium Web"/>
                <w:b/>
                <w:bCs/>
              </w:rPr>
              <w:t>Rinuncia al contributo</w:t>
            </w:r>
            <w:r>
              <w:rPr>
                <w:webHidden/>
              </w:rPr>
              <w:fldChar w:fldCharType="begin"/>
            </w:r>
            <w:r>
              <w:rPr>
                <w:webHidden/>
              </w:rPr>
              <w:instrText xml:space="preserve">PAGEREF _Toc215218274 \h</w:instrText>
            </w:r>
            <w:r>
              <w:rPr>
                <w:webHidden/>
              </w:rPr>
              <w:fldChar w:fldCharType="separate"/>
            </w:r>
            <w:r>
              <w:rPr>
                <w:rStyle w:val="Saltoaindice"/>
                <w:b/>
                <w:bCs/>
                <w:vanish w:val="false"/>
              </w:rPr>
              <w:tab/>
              <w:t>24</w:t>
            </w:r>
            <w:r>
              <w:rPr>
                <w:webHidden/>
              </w:rPr>
              <w:fldChar w:fldCharType="end"/>
            </w:r>
          </w:hyperlink>
        </w:p>
        <w:p>
          <w:pPr>
            <w:pStyle w:val="Indice1"/>
            <w:tabs>
              <w:tab w:val="clear" w:pos="720"/>
              <w:tab w:val="right" w:pos="9730" w:leader="dot"/>
            </w:tabs>
            <w:spacing w:before="1" w:after="160"/>
            <w:ind w:left="284" w:hanging="232"/>
            <w:rPr>
              <w:b w:val="false"/>
              <w:b w:val="false"/>
              <w:bCs w:val="false"/>
              <w:lang w:eastAsia="it-IT"/>
            </w:rPr>
          </w:pPr>
          <w:hyperlink w:anchor="_Toc215218275">
            <w:r>
              <w:rPr>
                <w:webHidden/>
                <w:rStyle w:val="Saltoaindice"/>
                <w:rFonts w:cs="Times New Roman" w:ascii="Titillium Web" w:hAnsi="Titillium Web"/>
              </w:rPr>
              <w:t>5. Disposizioni</w:t>
            </w:r>
            <w:r>
              <w:rPr>
                <w:rStyle w:val="Saltoaindice"/>
                <w:rFonts w:cs="Times New Roman" w:ascii="Titillium Web" w:hAnsi="Titillium Web"/>
                <w:spacing w:val="-6"/>
              </w:rPr>
              <w:t xml:space="preserve"> </w:t>
            </w:r>
            <w:r>
              <w:rPr>
                <w:rStyle w:val="Saltoaindice"/>
                <w:rFonts w:cs="Times New Roman" w:ascii="Titillium Web" w:hAnsi="Titillium Web"/>
                <w:spacing w:val="-2"/>
              </w:rPr>
              <w:t>finali</w:t>
            </w:r>
            <w:r>
              <w:rPr>
                <w:webHidden/>
              </w:rPr>
              <w:fldChar w:fldCharType="begin"/>
            </w:r>
            <w:r>
              <w:rPr>
                <w:webHidden/>
              </w:rPr>
              <w:instrText xml:space="preserve">PAGEREF _Toc215218275 \h</w:instrText>
            </w:r>
            <w:r>
              <w:rPr>
                <w:webHidden/>
              </w:rPr>
              <w:fldChar w:fldCharType="separate"/>
            </w:r>
            <w:r>
              <w:rPr>
                <w:rStyle w:val="Saltoaindice"/>
                <w:vanish w:val="false"/>
              </w:rPr>
              <w:tab/>
              <w:t>25</w:t>
            </w:r>
            <w:r>
              <w:rPr>
                <w:webHidden/>
              </w:rPr>
              <w:fldChar w:fldCharType="end"/>
            </w:r>
          </w:hyperlink>
        </w:p>
        <w:p>
          <w:pPr>
            <w:pStyle w:val="Indice2"/>
            <w:tabs>
              <w:tab w:val="clear" w:pos="720"/>
              <w:tab w:val="right" w:pos="9730" w:leader="dot"/>
            </w:tabs>
            <w:rPr>
              <w:lang w:eastAsia="it-IT"/>
            </w:rPr>
          </w:pPr>
          <w:hyperlink w:anchor="_Toc215218276">
            <w:r>
              <w:rPr>
                <w:webHidden/>
                <w:rStyle w:val="Saltoaindice"/>
                <w:rFonts w:cs="Times New Roman" w:ascii="Titillium Web" w:hAnsi="Titillium Web"/>
                <w:b/>
                <w:bCs/>
              </w:rPr>
              <w:t>5.1</w:t>
            </w:r>
            <w:r>
              <w:rPr>
                <w:rStyle w:val="Saltoaindice"/>
                <w:lang w:eastAsia="it-IT"/>
              </w:rPr>
              <w:tab/>
            </w:r>
            <w:r>
              <w:rPr>
                <w:rStyle w:val="Saltoaindice"/>
                <w:rFonts w:cs="Times New Roman" w:ascii="Titillium Web" w:hAnsi="Titillium Web"/>
                <w:b/>
                <w:bCs/>
              </w:rPr>
              <w:t>Informazione,</w:t>
            </w:r>
            <w:r>
              <w:rPr>
                <w:rStyle w:val="Saltoaindice"/>
                <w:rFonts w:cs="Times New Roman" w:ascii="Titillium Web" w:hAnsi="Titillium Web"/>
                <w:b/>
                <w:bCs/>
                <w:spacing w:val="-5"/>
              </w:rPr>
              <w:t xml:space="preserve"> </w:t>
            </w:r>
            <w:r>
              <w:rPr>
                <w:rStyle w:val="Saltoaindice"/>
                <w:rFonts w:cs="Times New Roman" w:ascii="Titillium Web" w:hAnsi="Titillium Web"/>
                <w:b/>
                <w:bCs/>
              </w:rPr>
              <w:t>pubblicità</w:t>
            </w:r>
            <w:r>
              <w:rPr>
                <w:rStyle w:val="Saltoaindice"/>
                <w:rFonts w:cs="Times New Roman" w:ascii="Titillium Web" w:hAnsi="Titillium Web"/>
                <w:b/>
                <w:bCs/>
                <w:spacing w:val="-3"/>
              </w:rPr>
              <w:t xml:space="preserve"> </w:t>
            </w:r>
            <w:r>
              <w:rPr>
                <w:rStyle w:val="Saltoaindice"/>
                <w:rFonts w:cs="Times New Roman" w:ascii="Titillium Web" w:hAnsi="Titillium Web"/>
                <w:b/>
                <w:bCs/>
              </w:rPr>
              <w:t>e</w:t>
            </w:r>
            <w:r>
              <w:rPr>
                <w:rStyle w:val="Saltoaindice"/>
                <w:rFonts w:cs="Times New Roman" w:ascii="Titillium Web" w:hAnsi="Titillium Web"/>
                <w:b/>
                <w:bCs/>
                <w:spacing w:val="-3"/>
              </w:rPr>
              <w:t xml:space="preserve"> </w:t>
            </w:r>
            <w:r>
              <w:rPr>
                <w:rStyle w:val="Saltoaindice"/>
                <w:rFonts w:cs="Times New Roman" w:ascii="Titillium Web" w:hAnsi="Titillium Web"/>
                <w:b/>
                <w:bCs/>
              </w:rPr>
              <w:t>comunicazione</w:t>
            </w:r>
            <w:r>
              <w:rPr>
                <w:rStyle w:val="Saltoaindice"/>
                <w:rFonts w:cs="Times New Roman" w:ascii="Titillium Web" w:hAnsi="Titillium Web"/>
                <w:b/>
                <w:bCs/>
                <w:spacing w:val="-4"/>
              </w:rPr>
              <w:t xml:space="preserve"> </w:t>
            </w:r>
            <w:r>
              <w:rPr>
                <w:rStyle w:val="Saltoaindice"/>
                <w:rFonts w:cs="Times New Roman" w:ascii="Titillium Web" w:hAnsi="Titillium Web"/>
                <w:b/>
                <w:bCs/>
              </w:rPr>
              <w:t>dei</w:t>
            </w:r>
            <w:r>
              <w:rPr>
                <w:rStyle w:val="Saltoaindice"/>
                <w:rFonts w:cs="Times New Roman" w:ascii="Titillium Web" w:hAnsi="Titillium Web"/>
                <w:b/>
                <w:bCs/>
                <w:spacing w:val="-3"/>
              </w:rPr>
              <w:t xml:space="preserve"> </w:t>
            </w:r>
            <w:r>
              <w:rPr>
                <w:rStyle w:val="Saltoaindice"/>
                <w:rFonts w:cs="Times New Roman" w:ascii="Titillium Web" w:hAnsi="Titillium Web"/>
                <w:b/>
                <w:bCs/>
                <w:spacing w:val="-2"/>
              </w:rPr>
              <w:t>risultati</w:t>
            </w:r>
            <w:r>
              <w:rPr>
                <w:rStyle w:val="Saltoaindice"/>
                <w:vanish w:val="false"/>
              </w:rPr>
              <w:tab/>
            </w:r>
            <w:r>
              <w:rPr>
                <w:webHidden/>
              </w:rPr>
              <w:fldChar w:fldCharType="begin"/>
            </w:r>
            <w:r>
              <w:rPr>
                <w:webHidden/>
              </w:rPr>
              <w:instrText xml:space="preserve">PAGEREF _Toc215218276 \h</w:instrText>
            </w:r>
            <w:r>
              <w:rPr>
                <w:webHidden/>
              </w:rPr>
              <w:fldChar w:fldCharType="separate"/>
            </w:r>
            <w:r>
              <w:rPr>
                <w:rStyle w:val="Saltoaindice"/>
                <w:b/>
                <w:bCs/>
                <w:vanish w:val="false"/>
              </w:rPr>
              <w:t>25</w:t>
            </w:r>
            <w:r>
              <w:rPr>
                <w:webHidden/>
              </w:rPr>
              <w:fldChar w:fldCharType="end"/>
            </w:r>
          </w:hyperlink>
        </w:p>
        <w:p>
          <w:pPr>
            <w:pStyle w:val="Indice1"/>
            <w:tabs>
              <w:tab w:val="clear" w:pos="720"/>
              <w:tab w:val="right" w:pos="9730" w:leader="dot"/>
            </w:tabs>
            <w:spacing w:before="1" w:after="160"/>
            <w:ind w:left="284" w:hanging="233"/>
            <w:rPr>
              <w:b w:val="false"/>
              <w:b w:val="false"/>
              <w:bCs w:val="false"/>
              <w:lang w:eastAsia="it-IT"/>
            </w:rPr>
          </w:pPr>
          <w:hyperlink w:anchor="_Toc215218277">
            <w:r>
              <w:rPr>
                <w:webHidden/>
                <w:rStyle w:val="Saltoaindice"/>
                <w:rFonts w:cs="Times New Roman" w:ascii="Titillium Web" w:hAnsi="Titillium Web"/>
              </w:rPr>
              <w:t>6. Trattamento dei dati personali</w:t>
            </w:r>
            <w:r>
              <w:rPr>
                <w:webHidden/>
              </w:rPr>
              <w:fldChar w:fldCharType="begin"/>
            </w:r>
            <w:r>
              <w:rPr>
                <w:webHidden/>
              </w:rPr>
              <w:instrText xml:space="preserve">PAGEREF _Toc215218277 \h</w:instrText>
            </w:r>
            <w:r>
              <w:rPr>
                <w:webHidden/>
              </w:rPr>
              <w:fldChar w:fldCharType="separate"/>
            </w:r>
            <w:r>
              <w:rPr>
                <w:rStyle w:val="Saltoaindice"/>
                <w:vanish w:val="false"/>
              </w:rPr>
              <w:tab/>
              <w:t>25</w:t>
            </w:r>
            <w:r>
              <w:rPr>
                <w:webHidden/>
              </w:rPr>
              <w:fldChar w:fldCharType="end"/>
            </w:r>
          </w:hyperlink>
        </w:p>
        <w:p>
          <w:pPr>
            <w:pStyle w:val="Indice3"/>
            <w:tabs>
              <w:tab w:val="clear" w:pos="720"/>
              <w:tab w:val="right" w:pos="9730" w:leader="dot"/>
            </w:tabs>
            <w:spacing w:lineRule="auto" w:line="259" w:before="1" w:after="160"/>
            <w:rPr>
              <w:b w:val="false"/>
              <w:b w:val="false"/>
              <w:bCs w:val="false"/>
              <w:i w:val="false"/>
              <w:i w:val="false"/>
              <w:iCs w:val="false"/>
              <w:lang w:eastAsia="it-IT"/>
            </w:rPr>
          </w:pPr>
          <w:hyperlink w:anchor="_Toc215218278">
            <w:r>
              <w:rPr>
                <w:webHidden/>
                <w:rStyle w:val="Saltoaindice"/>
                <w:rFonts w:cs="Times New Roman" w:ascii="Titillium Web" w:hAnsi="Titillium Web"/>
                <w:i w:val="false"/>
                <w:iCs w:val="false"/>
              </w:rPr>
              <w:t xml:space="preserve">6.1 </w:t>
              <w:tab/>
              <w:t>Informativa ai</w:t>
            </w:r>
            <w:r>
              <w:rPr>
                <w:rStyle w:val="Saltoaindice"/>
                <w:rFonts w:cs="Times New Roman" w:ascii="Titillium Web" w:hAnsi="Titillium Web"/>
                <w:i w:val="false"/>
                <w:iCs w:val="false"/>
                <w:spacing w:val="-4"/>
              </w:rPr>
              <w:t xml:space="preserve"> </w:t>
            </w:r>
            <w:r>
              <w:rPr>
                <w:rStyle w:val="Saltoaindice"/>
                <w:rFonts w:cs="Times New Roman" w:ascii="Titillium Web" w:hAnsi="Titillium Web"/>
                <w:i w:val="false"/>
                <w:iCs w:val="false"/>
              </w:rPr>
              <w:t>sensi</w:t>
            </w:r>
            <w:r>
              <w:rPr>
                <w:rStyle w:val="Saltoaindice"/>
                <w:rFonts w:cs="Times New Roman" w:ascii="Titillium Web" w:hAnsi="Titillium Web"/>
                <w:i w:val="false"/>
                <w:iCs w:val="false"/>
                <w:spacing w:val="-4"/>
              </w:rPr>
              <w:t xml:space="preserve"> </w:t>
            </w:r>
            <w:r>
              <w:rPr>
                <w:rStyle w:val="Saltoaindice"/>
                <w:rFonts w:cs="Times New Roman" w:ascii="Titillium Web" w:hAnsi="Titillium Web"/>
                <w:i w:val="false"/>
                <w:iCs w:val="false"/>
              </w:rPr>
              <w:t>dell’articolo</w:t>
            </w:r>
            <w:r>
              <w:rPr>
                <w:rStyle w:val="Saltoaindice"/>
                <w:rFonts w:cs="Times New Roman" w:ascii="Titillium Web" w:hAnsi="Titillium Web"/>
                <w:i w:val="false"/>
                <w:iCs w:val="false"/>
                <w:spacing w:val="-7"/>
              </w:rPr>
              <w:t xml:space="preserve"> </w:t>
            </w:r>
            <w:r>
              <w:rPr>
                <w:rStyle w:val="Saltoaindice"/>
                <w:rFonts w:cs="Times New Roman" w:ascii="Titillium Web" w:hAnsi="Titillium Web"/>
                <w:i w:val="false"/>
                <w:iCs w:val="false"/>
              </w:rPr>
              <w:t>13</w:t>
            </w:r>
            <w:r>
              <w:rPr>
                <w:rStyle w:val="Saltoaindice"/>
                <w:rFonts w:cs="Times New Roman" w:ascii="Titillium Web" w:hAnsi="Titillium Web"/>
                <w:i w:val="false"/>
                <w:iCs w:val="false"/>
                <w:spacing w:val="-5"/>
              </w:rPr>
              <w:t xml:space="preserve"> </w:t>
            </w:r>
            <w:r>
              <w:rPr>
                <w:rStyle w:val="Saltoaindice"/>
                <w:rFonts w:cs="Times New Roman" w:ascii="Titillium Web" w:hAnsi="Titillium Web"/>
                <w:i w:val="false"/>
                <w:iCs w:val="false"/>
              </w:rPr>
              <w:t>del</w:t>
            </w:r>
            <w:r>
              <w:rPr>
                <w:rStyle w:val="Saltoaindice"/>
                <w:rFonts w:cs="Times New Roman" w:ascii="Titillium Web" w:hAnsi="Titillium Web"/>
                <w:i w:val="false"/>
                <w:iCs w:val="false"/>
                <w:spacing w:val="-4"/>
              </w:rPr>
              <w:t xml:space="preserve"> </w:t>
            </w:r>
            <w:r>
              <w:rPr>
                <w:rStyle w:val="Saltoaindice"/>
                <w:rFonts w:cs="Times New Roman" w:ascii="Titillium Web" w:hAnsi="Titillium Web"/>
                <w:i w:val="false"/>
                <w:iCs w:val="false"/>
              </w:rPr>
              <w:t>regolamento</w:t>
            </w:r>
            <w:r>
              <w:rPr>
                <w:rStyle w:val="Saltoaindice"/>
                <w:rFonts w:cs="Times New Roman" w:ascii="Titillium Web" w:hAnsi="Titillium Web"/>
                <w:i w:val="false"/>
                <w:iCs w:val="false"/>
                <w:spacing w:val="-5"/>
              </w:rPr>
              <w:t xml:space="preserve"> </w:t>
            </w:r>
            <w:r>
              <w:rPr>
                <w:rStyle w:val="Saltoaindice"/>
                <w:rFonts w:cs="Times New Roman" w:ascii="Titillium Web" w:hAnsi="Titillium Web"/>
                <w:i w:val="false"/>
                <w:iCs w:val="false"/>
              </w:rPr>
              <w:t>UE</w:t>
            </w:r>
            <w:r>
              <w:rPr>
                <w:rStyle w:val="Saltoaindice"/>
                <w:rFonts w:cs="Times New Roman" w:ascii="Titillium Web" w:hAnsi="Titillium Web"/>
                <w:i w:val="false"/>
                <w:iCs w:val="false"/>
                <w:spacing w:val="-3"/>
              </w:rPr>
              <w:t xml:space="preserve"> </w:t>
            </w:r>
            <w:r>
              <w:rPr>
                <w:rStyle w:val="Saltoaindice"/>
                <w:rFonts w:cs="Times New Roman" w:ascii="Titillium Web" w:hAnsi="Titillium Web"/>
                <w:i w:val="false"/>
                <w:iCs w:val="false"/>
              </w:rPr>
              <w:t>n.</w:t>
            </w:r>
            <w:r>
              <w:rPr>
                <w:rStyle w:val="Saltoaindice"/>
                <w:rFonts w:cs="Times New Roman" w:ascii="Titillium Web" w:hAnsi="Titillium Web"/>
                <w:i w:val="false"/>
                <w:iCs w:val="false"/>
                <w:spacing w:val="-6"/>
              </w:rPr>
              <w:t xml:space="preserve"> </w:t>
            </w:r>
            <w:r>
              <w:rPr>
                <w:rStyle w:val="Saltoaindice"/>
                <w:rFonts w:cs="Times New Roman" w:ascii="Titillium Web" w:hAnsi="Titillium Web"/>
                <w:i w:val="false"/>
                <w:iCs w:val="false"/>
                <w:spacing w:val="-2"/>
              </w:rPr>
              <w:t>2016/679</w:t>
            </w:r>
            <w:r>
              <w:rPr>
                <w:webHidden/>
              </w:rPr>
              <w:fldChar w:fldCharType="begin"/>
            </w:r>
            <w:r>
              <w:rPr>
                <w:webHidden/>
              </w:rPr>
              <w:instrText xml:space="preserve">PAGEREF _Toc215218278 \h</w:instrText>
            </w:r>
            <w:r>
              <w:rPr>
                <w:webHidden/>
              </w:rPr>
              <w:fldChar w:fldCharType="separate"/>
            </w:r>
            <w:r>
              <w:rPr>
                <w:rStyle w:val="Saltoaindice"/>
                <w:i w:val="false"/>
                <w:iCs w:val="false"/>
                <w:vanish w:val="false"/>
              </w:rPr>
              <w:tab/>
              <w:t>25</w:t>
            </w:r>
            <w:r>
              <w:rPr>
                <w:webHidden/>
              </w:rPr>
              <w:fldChar w:fldCharType="end"/>
            </w:r>
          </w:hyperlink>
        </w:p>
        <w:p>
          <w:pPr>
            <w:pStyle w:val="Indice3"/>
            <w:tabs>
              <w:tab w:val="clear" w:pos="720"/>
              <w:tab w:val="right" w:pos="9730" w:leader="dot"/>
            </w:tabs>
            <w:spacing w:lineRule="auto" w:line="259" w:before="1" w:after="160"/>
            <w:rPr>
              <w:b w:val="false"/>
              <w:b w:val="false"/>
              <w:bCs w:val="false"/>
              <w:i w:val="false"/>
              <w:i w:val="false"/>
              <w:iCs w:val="false"/>
              <w:lang w:eastAsia="it-IT"/>
            </w:rPr>
          </w:pPr>
          <w:hyperlink w:anchor="_Toc215218279">
            <w:r>
              <w:rPr>
                <w:webHidden/>
                <w:rStyle w:val="Saltoaindice"/>
                <w:rFonts w:cs="Times New Roman" w:ascii="Titillium Web" w:hAnsi="Titillium Web"/>
                <w:i w:val="false"/>
                <w:iCs w:val="false"/>
              </w:rPr>
              <w:t xml:space="preserve">6.2 </w:t>
              <w:tab/>
              <w:t>Titolare del trattamento</w:t>
            </w:r>
            <w:r>
              <w:rPr>
                <w:webHidden/>
              </w:rPr>
              <w:fldChar w:fldCharType="begin"/>
            </w:r>
            <w:r>
              <w:rPr>
                <w:webHidden/>
              </w:rPr>
              <w:instrText xml:space="preserve">PAGEREF _Toc215218279 \h</w:instrText>
            </w:r>
            <w:r>
              <w:rPr>
                <w:webHidden/>
              </w:rPr>
              <w:fldChar w:fldCharType="separate"/>
            </w:r>
            <w:r>
              <w:rPr>
                <w:rStyle w:val="Saltoaindice"/>
                <w:i w:val="false"/>
                <w:iCs w:val="false"/>
                <w:vanish w:val="false"/>
              </w:rPr>
              <w:tab/>
              <w:t>25</w:t>
            </w:r>
            <w:r>
              <w:rPr>
                <w:webHidden/>
              </w:rPr>
              <w:fldChar w:fldCharType="end"/>
            </w:r>
          </w:hyperlink>
        </w:p>
        <w:p>
          <w:pPr>
            <w:pStyle w:val="Indice3"/>
            <w:tabs>
              <w:tab w:val="clear" w:pos="720"/>
              <w:tab w:val="right" w:pos="9730" w:leader="dot"/>
            </w:tabs>
            <w:spacing w:lineRule="auto" w:line="259" w:before="1" w:after="160"/>
            <w:rPr>
              <w:b w:val="false"/>
              <w:b w:val="false"/>
              <w:bCs w:val="false"/>
              <w:i w:val="false"/>
              <w:i w:val="false"/>
              <w:iCs w:val="false"/>
              <w:lang w:eastAsia="it-IT"/>
            </w:rPr>
          </w:pPr>
          <w:hyperlink w:anchor="_Toc215218280">
            <w:r>
              <w:rPr>
                <w:webHidden/>
                <w:rStyle w:val="Saltoaindice"/>
                <w:rFonts w:cs="Times New Roman" w:ascii="Titillium Web" w:hAnsi="Titillium Web"/>
                <w:i w:val="false"/>
                <w:iCs w:val="false"/>
              </w:rPr>
              <w:t xml:space="preserve">6.3 </w:t>
              <w:tab/>
              <w:t>Responsabile della protezione dei dati (DPO)</w:t>
            </w:r>
            <w:r>
              <w:rPr>
                <w:webHidden/>
              </w:rPr>
              <w:fldChar w:fldCharType="begin"/>
            </w:r>
            <w:r>
              <w:rPr>
                <w:webHidden/>
              </w:rPr>
              <w:instrText xml:space="preserve">PAGEREF _Toc215218280 \h</w:instrText>
            </w:r>
            <w:r>
              <w:rPr>
                <w:webHidden/>
              </w:rPr>
              <w:fldChar w:fldCharType="separate"/>
            </w:r>
            <w:r>
              <w:rPr>
                <w:rStyle w:val="Saltoaindice"/>
                <w:i w:val="false"/>
                <w:iCs w:val="false"/>
                <w:vanish w:val="false"/>
              </w:rPr>
              <w:tab/>
              <w:t>25</w:t>
            </w:r>
            <w:r>
              <w:rPr>
                <w:webHidden/>
              </w:rPr>
              <w:fldChar w:fldCharType="end"/>
            </w:r>
          </w:hyperlink>
        </w:p>
        <w:p>
          <w:pPr>
            <w:pStyle w:val="Indice3"/>
            <w:tabs>
              <w:tab w:val="clear" w:pos="720"/>
              <w:tab w:val="right" w:pos="9730" w:leader="dot"/>
            </w:tabs>
            <w:spacing w:lineRule="auto" w:line="259" w:before="1" w:after="160"/>
            <w:rPr>
              <w:b w:val="false"/>
              <w:b w:val="false"/>
              <w:bCs w:val="false"/>
              <w:i w:val="false"/>
              <w:i w:val="false"/>
              <w:iCs w:val="false"/>
              <w:lang w:eastAsia="it-IT"/>
            </w:rPr>
          </w:pPr>
          <w:hyperlink w:anchor="_Toc215218281">
            <w:r>
              <w:rPr>
                <w:webHidden/>
                <w:rStyle w:val="Saltoaindice"/>
                <w:rFonts w:cs="Times New Roman" w:ascii="Titillium Web" w:hAnsi="Titillium Web"/>
                <w:i w:val="false"/>
                <w:iCs w:val="false"/>
              </w:rPr>
              <w:t xml:space="preserve">6.4 </w:t>
              <w:tab/>
              <w:t>Finalità del Trattamento. Base giuridica del Trattamento</w:t>
            </w:r>
            <w:r>
              <w:rPr>
                <w:webHidden/>
              </w:rPr>
              <w:fldChar w:fldCharType="begin"/>
            </w:r>
            <w:r>
              <w:rPr>
                <w:webHidden/>
              </w:rPr>
              <w:instrText xml:space="preserve">PAGEREF _Toc215218281 \h</w:instrText>
            </w:r>
            <w:r>
              <w:rPr>
                <w:webHidden/>
              </w:rPr>
              <w:fldChar w:fldCharType="separate"/>
            </w:r>
            <w:r>
              <w:rPr>
                <w:rStyle w:val="Saltoaindice"/>
                <w:i w:val="false"/>
                <w:iCs w:val="false"/>
                <w:vanish w:val="false"/>
              </w:rPr>
              <w:tab/>
              <w:t>26</w:t>
            </w:r>
            <w:r>
              <w:rPr>
                <w:webHidden/>
              </w:rPr>
              <w:fldChar w:fldCharType="end"/>
            </w:r>
          </w:hyperlink>
        </w:p>
        <w:p>
          <w:pPr>
            <w:pStyle w:val="Indice3"/>
            <w:tabs>
              <w:tab w:val="clear" w:pos="720"/>
              <w:tab w:val="right" w:pos="9730" w:leader="dot"/>
            </w:tabs>
            <w:spacing w:lineRule="auto" w:line="259" w:before="1" w:after="160"/>
            <w:rPr>
              <w:b w:val="false"/>
              <w:b w:val="false"/>
              <w:bCs w:val="false"/>
              <w:i w:val="false"/>
              <w:i w:val="false"/>
              <w:iCs w:val="false"/>
              <w:lang w:eastAsia="it-IT"/>
            </w:rPr>
          </w:pPr>
          <w:hyperlink w:anchor="_Toc215218282">
            <w:r>
              <w:rPr>
                <w:webHidden/>
                <w:rStyle w:val="Saltoaindice"/>
                <w:rFonts w:cs="Times New Roman" w:ascii="Titillium Web" w:hAnsi="Titillium Web"/>
                <w:i w:val="false"/>
                <w:iCs w:val="false"/>
              </w:rPr>
              <w:t xml:space="preserve">6.5 </w:t>
              <w:tab/>
              <w:t>Natura del conferimento. Obbligo di fornire i dati personali e possibili conseguenze di un mancato conferimento</w:t>
            </w:r>
            <w:r>
              <w:rPr>
                <w:webHidden/>
              </w:rPr>
              <w:fldChar w:fldCharType="begin"/>
            </w:r>
            <w:r>
              <w:rPr>
                <w:webHidden/>
              </w:rPr>
              <w:instrText xml:space="preserve">PAGEREF _Toc215218282 \h</w:instrText>
            </w:r>
            <w:r>
              <w:rPr>
                <w:webHidden/>
              </w:rPr>
              <w:fldChar w:fldCharType="separate"/>
            </w:r>
            <w:r>
              <w:rPr>
                <w:rStyle w:val="Saltoaindice"/>
                <w:i w:val="false"/>
                <w:iCs w:val="false"/>
                <w:vanish w:val="false"/>
              </w:rPr>
              <w:tab/>
              <w:t>27</w:t>
            </w:r>
            <w:r>
              <w:rPr>
                <w:webHidden/>
              </w:rPr>
              <w:fldChar w:fldCharType="end"/>
            </w:r>
          </w:hyperlink>
        </w:p>
        <w:p>
          <w:pPr>
            <w:pStyle w:val="Indice3"/>
            <w:tabs>
              <w:tab w:val="clear" w:pos="720"/>
              <w:tab w:val="right" w:pos="9730" w:leader="dot"/>
            </w:tabs>
            <w:spacing w:lineRule="auto" w:line="259" w:before="1" w:after="160"/>
            <w:rPr>
              <w:b w:val="false"/>
              <w:b w:val="false"/>
              <w:bCs w:val="false"/>
              <w:i w:val="false"/>
              <w:i w:val="false"/>
              <w:iCs w:val="false"/>
              <w:lang w:eastAsia="it-IT"/>
            </w:rPr>
          </w:pPr>
          <w:hyperlink w:anchor="_Toc215218283">
            <w:r>
              <w:rPr>
                <w:webHidden/>
                <w:rStyle w:val="Saltoaindice"/>
                <w:rFonts w:cs="Times New Roman" w:ascii="Titillium Web" w:hAnsi="Titillium Web"/>
                <w:i w:val="false"/>
                <w:iCs w:val="false"/>
              </w:rPr>
              <w:t xml:space="preserve">6.6 </w:t>
              <w:tab/>
              <w:t>Eventuali destinatari o eventuali categorie di destinatari dei dati personali</w:t>
            </w:r>
            <w:r>
              <w:rPr>
                <w:webHidden/>
              </w:rPr>
              <w:fldChar w:fldCharType="begin"/>
            </w:r>
            <w:r>
              <w:rPr>
                <w:webHidden/>
              </w:rPr>
              <w:instrText xml:space="preserve">PAGEREF _Toc215218283 \h</w:instrText>
            </w:r>
            <w:r>
              <w:rPr>
                <w:webHidden/>
              </w:rPr>
              <w:fldChar w:fldCharType="separate"/>
            </w:r>
            <w:r>
              <w:rPr>
                <w:rStyle w:val="Saltoaindice"/>
                <w:i w:val="false"/>
                <w:iCs w:val="false"/>
                <w:vanish w:val="false"/>
              </w:rPr>
              <w:tab/>
              <w:t>27</w:t>
            </w:r>
            <w:r>
              <w:rPr>
                <w:webHidden/>
              </w:rPr>
              <w:fldChar w:fldCharType="end"/>
            </w:r>
          </w:hyperlink>
        </w:p>
        <w:p>
          <w:pPr>
            <w:pStyle w:val="Indice3"/>
            <w:tabs>
              <w:tab w:val="clear" w:pos="720"/>
              <w:tab w:val="right" w:pos="9730" w:leader="dot"/>
            </w:tabs>
            <w:spacing w:lineRule="auto" w:line="259" w:before="1" w:after="160"/>
            <w:rPr>
              <w:i w:val="false"/>
              <w:i w:val="false"/>
              <w:iCs w:val="false"/>
            </w:rPr>
          </w:pPr>
          <w:hyperlink w:anchor="_Toc215218284">
            <w:r>
              <w:rPr>
                <w:webHidden/>
                <w:rStyle w:val="Saltoaindice"/>
                <w:rFonts w:cs="Times New Roman" w:ascii="Titillium Web" w:hAnsi="Titillium Web"/>
                <w:i w:val="false"/>
                <w:iCs w:val="false"/>
              </w:rPr>
              <w:t xml:space="preserve">6.7 </w:t>
              <w:tab/>
              <w:t>Periodo di conservazione dei dati</w:t>
            </w:r>
            <w:r>
              <w:rPr>
                <w:webHidden/>
              </w:rPr>
              <w:fldChar w:fldCharType="begin"/>
            </w:r>
            <w:r>
              <w:rPr>
                <w:webHidden/>
              </w:rPr>
              <w:instrText xml:space="preserve">PAGEREF _Toc215218284 \h</w:instrText>
            </w:r>
            <w:r>
              <w:rPr>
                <w:webHidden/>
              </w:rPr>
              <w:fldChar w:fldCharType="separate"/>
            </w:r>
            <w:r>
              <w:rPr>
                <w:rStyle w:val="Saltoaindice"/>
                <w:i w:val="false"/>
                <w:iCs w:val="false"/>
                <w:vanish w:val="false"/>
              </w:rPr>
              <w:tab/>
              <w:t>27</w:t>
            </w:r>
            <w:r>
              <w:rPr>
                <w:webHidden/>
              </w:rPr>
              <w:fldChar w:fldCharType="end"/>
            </w:r>
          </w:hyperlink>
        </w:p>
        <w:p>
          <w:pPr>
            <w:pStyle w:val="Indice3"/>
            <w:tabs>
              <w:tab w:val="clear" w:pos="720"/>
              <w:tab w:val="right" w:pos="9730" w:leader="dot"/>
            </w:tabs>
            <w:spacing w:lineRule="auto" w:line="259" w:before="1" w:after="160"/>
            <w:rPr>
              <w:i w:val="false"/>
              <w:i w:val="false"/>
              <w:iCs w:val="false"/>
            </w:rPr>
          </w:pPr>
          <w:hyperlink w:anchor="_Toc215218284">
            <w:r>
              <w:rPr>
                <w:webHidden/>
                <w:rStyle w:val="Saltoaindice"/>
                <w:rFonts w:cs="Times New Roman" w:ascii="Titillium Web" w:hAnsi="Titillium Web"/>
                <w:i w:val="false"/>
                <w:iCs w:val="false"/>
              </w:rPr>
              <w:t xml:space="preserve">6.8 </w:t>
              <w:tab/>
              <w:t>Trasferimento dei dati personali</w:t>
            </w:r>
            <w:r>
              <w:rPr>
                <w:webHidden/>
              </w:rPr>
              <w:fldChar w:fldCharType="begin"/>
            </w:r>
            <w:r>
              <w:rPr>
                <w:webHidden/>
              </w:rPr>
              <w:instrText xml:space="preserve">PAGEREF _Toc215218284 \h</w:instrText>
            </w:r>
            <w:r>
              <w:rPr>
                <w:webHidden/>
              </w:rPr>
              <w:fldChar w:fldCharType="separate"/>
            </w:r>
            <w:r>
              <w:rPr>
                <w:rStyle w:val="Saltoaindice"/>
                <w:i w:val="false"/>
                <w:iCs w:val="false"/>
                <w:vanish w:val="false"/>
              </w:rPr>
              <w:tab/>
              <w:t>28</w:t>
            </w:r>
            <w:r>
              <w:rPr>
                <w:webHidden/>
              </w:rPr>
              <w:fldChar w:fldCharType="end"/>
            </w:r>
          </w:hyperlink>
        </w:p>
        <w:p>
          <w:pPr>
            <w:pStyle w:val="Indice3"/>
            <w:tabs>
              <w:tab w:val="clear" w:pos="720"/>
              <w:tab w:val="right" w:pos="9730" w:leader="dot"/>
            </w:tabs>
            <w:spacing w:lineRule="auto" w:line="259" w:before="1" w:after="160"/>
            <w:rPr>
              <w:i w:val="false"/>
              <w:i w:val="false"/>
              <w:iCs w:val="false"/>
            </w:rPr>
          </w:pPr>
          <w:hyperlink w:anchor="_Toc215218284">
            <w:r>
              <w:rPr>
                <w:webHidden/>
                <w:rStyle w:val="Saltoaindice"/>
                <w:rFonts w:cs="Times New Roman" w:ascii="Titillium Web" w:hAnsi="Titillium Web"/>
                <w:i w:val="false"/>
                <w:iCs w:val="false"/>
              </w:rPr>
              <w:t xml:space="preserve">6.9 </w:t>
              <w:tab/>
              <w:t>Esistenza di un processo decisionale automatizzato, compresa la profilazione</w:t>
            </w:r>
            <w:r>
              <w:rPr>
                <w:webHidden/>
              </w:rPr>
              <w:fldChar w:fldCharType="begin"/>
            </w:r>
            <w:r>
              <w:rPr>
                <w:webHidden/>
              </w:rPr>
              <w:instrText xml:space="preserve">PAGEREF _Toc215218284 \h</w:instrText>
            </w:r>
            <w:r>
              <w:rPr>
                <w:webHidden/>
              </w:rPr>
              <w:fldChar w:fldCharType="separate"/>
            </w:r>
            <w:r>
              <w:rPr>
                <w:rStyle w:val="Saltoaindice"/>
                <w:i w:val="false"/>
                <w:iCs w:val="false"/>
                <w:vanish w:val="false"/>
              </w:rPr>
              <w:tab/>
              <w:t>28</w:t>
            </w:r>
            <w:r>
              <w:rPr>
                <w:webHidden/>
              </w:rPr>
              <w:fldChar w:fldCharType="end"/>
            </w:r>
          </w:hyperlink>
        </w:p>
        <w:p>
          <w:pPr>
            <w:pStyle w:val="Indice1"/>
            <w:tabs>
              <w:tab w:val="clear" w:pos="720"/>
              <w:tab w:val="right" w:pos="9730" w:leader="dot"/>
            </w:tabs>
            <w:spacing w:before="1" w:after="160"/>
            <w:ind w:left="284" w:hanging="232"/>
            <w:rPr/>
          </w:pPr>
          <w:hyperlink w:anchor="_Toc215218285">
            <w:r>
              <w:rPr>
                <w:webHidden/>
                <w:rStyle w:val="Saltoaindice"/>
                <w:rFonts w:cs="Times New Roman" w:ascii="Titillium Web" w:hAnsi="Titillium Web"/>
              </w:rPr>
              <w:t>7. Diritti dell’interessato</w:t>
            </w:r>
            <w:r>
              <w:rPr>
                <w:webHidden/>
              </w:rPr>
              <w:fldChar w:fldCharType="begin"/>
            </w:r>
            <w:r>
              <w:rPr>
                <w:webHidden/>
              </w:rPr>
              <w:instrText xml:space="preserve">PAGEREF _Toc215218285 \h</w:instrText>
            </w:r>
            <w:r>
              <w:rPr>
                <w:webHidden/>
              </w:rPr>
              <w:fldChar w:fldCharType="separate"/>
            </w:r>
            <w:r>
              <w:rPr>
                <w:rStyle w:val="Saltoaindice"/>
                <w:vanish w:val="false"/>
              </w:rPr>
              <w:tab/>
              <w:t>28</w:t>
            </w:r>
            <w:r>
              <w:rPr>
                <w:webHidden/>
              </w:rPr>
              <w:fldChar w:fldCharType="end"/>
            </w:r>
          </w:hyperlink>
        </w:p>
        <w:p>
          <w:pPr>
            <w:pStyle w:val="Indice3"/>
            <w:tabs>
              <w:tab w:val="clear" w:pos="720"/>
              <w:tab w:val="right" w:pos="9730" w:leader="dot"/>
            </w:tabs>
            <w:spacing w:lineRule="auto" w:line="259" w:before="1" w:after="160"/>
            <w:rPr>
              <w:b w:val="false"/>
              <w:b w:val="false"/>
              <w:bCs w:val="false"/>
              <w:i w:val="false"/>
              <w:i w:val="false"/>
              <w:iCs w:val="false"/>
              <w:lang w:eastAsia="it-IT"/>
            </w:rPr>
          </w:pPr>
          <w:hyperlink w:anchor="_Toc215218283">
            <w:r>
              <w:rPr>
                <w:webHidden/>
                <w:rStyle w:val="Saltoaindice"/>
                <w:rFonts w:cs="Times New Roman" w:ascii="Titillium Web" w:hAnsi="Titillium Web"/>
                <w:i w:val="false"/>
                <w:iCs w:val="false"/>
              </w:rPr>
              <w:t xml:space="preserve">7.1 </w:t>
              <w:tab/>
              <w:t>Responsabile del procedimento</w:t>
            </w:r>
            <w:r>
              <w:rPr>
                <w:webHidden/>
              </w:rPr>
              <w:fldChar w:fldCharType="begin"/>
            </w:r>
            <w:r>
              <w:rPr>
                <w:webHidden/>
              </w:rPr>
              <w:instrText xml:space="preserve">PAGEREF _Toc215218283 \h</w:instrText>
            </w:r>
            <w:r>
              <w:rPr>
                <w:webHidden/>
              </w:rPr>
              <w:fldChar w:fldCharType="separate"/>
            </w:r>
            <w:r>
              <w:rPr>
                <w:rStyle w:val="Saltoaindice"/>
                <w:i w:val="false"/>
                <w:iCs w:val="false"/>
                <w:vanish w:val="false"/>
              </w:rPr>
              <w:tab/>
              <w:t>29</w:t>
            </w:r>
            <w:r>
              <w:rPr>
                <w:webHidden/>
              </w:rPr>
              <w:fldChar w:fldCharType="end"/>
            </w:r>
          </w:hyperlink>
        </w:p>
        <w:p>
          <w:pPr>
            <w:pStyle w:val="Indice3"/>
            <w:tabs>
              <w:tab w:val="clear" w:pos="720"/>
              <w:tab w:val="right" w:pos="9730" w:leader="dot"/>
            </w:tabs>
            <w:spacing w:lineRule="auto" w:line="259" w:before="1" w:after="160"/>
            <w:rPr>
              <w:b w:val="false"/>
              <w:b w:val="false"/>
              <w:bCs w:val="false"/>
              <w:i w:val="false"/>
              <w:i w:val="false"/>
              <w:iCs w:val="false"/>
              <w:lang w:eastAsia="it-IT"/>
            </w:rPr>
          </w:pPr>
          <w:hyperlink w:anchor="_Toc215218283">
            <w:r>
              <w:rPr>
                <w:webHidden/>
                <w:rStyle w:val="Saltoaindice"/>
                <w:rFonts w:cs="Times New Roman" w:ascii="Titillium Web" w:hAnsi="Titillium Web"/>
                <w:i w:val="false"/>
                <w:iCs w:val="false"/>
              </w:rPr>
              <w:t xml:space="preserve">7.2 </w:t>
              <w:tab/>
              <w:t>Forme di tutela giurisdizionale</w:t>
            </w:r>
            <w:r>
              <w:rPr>
                <w:webHidden/>
              </w:rPr>
              <w:fldChar w:fldCharType="begin"/>
            </w:r>
            <w:r>
              <w:rPr>
                <w:webHidden/>
              </w:rPr>
              <w:instrText xml:space="preserve">PAGEREF _Toc215218283 \h</w:instrText>
            </w:r>
            <w:r>
              <w:rPr>
                <w:webHidden/>
              </w:rPr>
              <w:fldChar w:fldCharType="separate"/>
            </w:r>
            <w:r>
              <w:rPr>
                <w:rStyle w:val="Saltoaindice"/>
                <w:i w:val="false"/>
                <w:iCs w:val="false"/>
                <w:vanish w:val="false"/>
              </w:rPr>
              <w:tab/>
              <w:t>29</w:t>
            </w:r>
            <w:r>
              <w:rPr>
                <w:webHidden/>
              </w:rPr>
              <w:fldChar w:fldCharType="end"/>
            </w:r>
          </w:hyperlink>
        </w:p>
        <w:p>
          <w:pPr>
            <w:pStyle w:val="Indice3"/>
            <w:tabs>
              <w:tab w:val="clear" w:pos="720"/>
              <w:tab w:val="right" w:pos="9730" w:leader="dot"/>
            </w:tabs>
            <w:spacing w:lineRule="auto" w:line="259" w:before="1" w:after="160"/>
            <w:rPr>
              <w:b w:val="false"/>
              <w:b w:val="false"/>
              <w:bCs w:val="false"/>
              <w:i w:val="false"/>
              <w:i w:val="false"/>
              <w:iCs w:val="false"/>
              <w:lang w:eastAsia="it-IT"/>
            </w:rPr>
          </w:pPr>
          <w:hyperlink w:anchor="_Toc215218283">
            <w:r>
              <w:rPr>
                <w:webHidden/>
                <w:rStyle w:val="Saltoaindice"/>
                <w:rFonts w:cs="Times New Roman" w:ascii="Titillium Web" w:hAnsi="Titillium Web"/>
                <w:i w:val="false"/>
                <w:iCs w:val="false"/>
              </w:rPr>
              <w:t xml:space="preserve">7.3 </w:t>
              <w:tab/>
              <w:t>Informazioni e contatti</w:t>
            </w:r>
            <w:r>
              <w:rPr>
                <w:webHidden/>
              </w:rPr>
              <w:fldChar w:fldCharType="begin"/>
            </w:r>
            <w:r>
              <w:rPr>
                <w:webHidden/>
              </w:rPr>
              <w:instrText xml:space="preserve">PAGEREF _Toc215218283 \h</w:instrText>
            </w:r>
            <w:r>
              <w:rPr>
                <w:webHidden/>
              </w:rPr>
              <w:fldChar w:fldCharType="separate"/>
            </w:r>
            <w:r>
              <w:rPr>
                <w:rStyle w:val="Saltoaindice"/>
                <w:i w:val="false"/>
                <w:iCs w:val="false"/>
                <w:vanish w:val="false"/>
              </w:rPr>
              <w:tab/>
              <w:t>29</w:t>
            </w:r>
            <w:r>
              <w:rPr>
                <w:webHidden/>
              </w:rPr>
              <w:fldChar w:fldCharType="end"/>
            </w:r>
          </w:hyperlink>
        </w:p>
        <w:p>
          <w:pPr>
            <w:pStyle w:val="Indice1"/>
            <w:tabs>
              <w:tab w:val="clear" w:pos="720"/>
              <w:tab w:val="right" w:pos="9730" w:leader="dot"/>
            </w:tabs>
            <w:spacing w:before="1" w:after="160"/>
            <w:ind w:left="284" w:hanging="232"/>
            <w:rPr>
              <w:b w:val="false"/>
              <w:b w:val="false"/>
              <w:bCs w:val="false"/>
              <w:lang w:eastAsia="it-IT"/>
            </w:rPr>
          </w:pPr>
          <w:hyperlink w:anchor="_Toc215218286">
            <w:r>
              <w:rPr>
                <w:webHidden/>
                <w:rStyle w:val="Saltoaindice"/>
                <w:rFonts w:cs="Times New Roman" w:ascii="Titillium Web" w:hAnsi="Titillium Web"/>
              </w:rPr>
              <w:t>8. Rinvio</w:t>
            </w:r>
            <w:r>
              <w:rPr>
                <w:webHidden/>
              </w:rPr>
              <w:fldChar w:fldCharType="begin"/>
            </w:r>
            <w:r>
              <w:rPr>
                <w:webHidden/>
              </w:rPr>
              <w:instrText xml:space="preserve">PAGEREF _Toc215218286 \h</w:instrText>
            </w:r>
            <w:r>
              <w:rPr>
                <w:webHidden/>
              </w:rPr>
              <w:fldChar w:fldCharType="separate"/>
            </w:r>
            <w:r>
              <w:rPr>
                <w:rStyle w:val="Saltoaindice"/>
                <w:vanish w:val="false"/>
              </w:rPr>
              <w:tab/>
              <w:t>29</w:t>
            </w:r>
            <w:r>
              <w:rPr>
                <w:webHidden/>
              </w:rPr>
              <w:fldChar w:fldCharType="end"/>
            </w:r>
          </w:hyperlink>
        </w:p>
        <w:p>
          <w:pPr>
            <w:pStyle w:val="Normal"/>
            <w:rPr>
              <w:rFonts w:eastAsia="Aptos" w:cs="Times New Roman"/>
              <w:b/>
              <w:b/>
              <w:bCs/>
              <w:color w:val="0F243E" w:themeColor="text2" w:themeShade="80"/>
              <w:kern w:val="2"/>
            </w:rPr>
          </w:pPr>
          <w:r>
            <w:rPr>
              <w:rFonts w:eastAsia="Aptos" w:cs="Times New Roman"/>
              <w:b/>
              <w:bCs/>
              <w:color w:val="0F243E" w:themeColor="text2" w:themeShade="80"/>
              <w:kern w:val="2"/>
            </w:rPr>
          </w:r>
          <w:r>
            <w:rPr>
              <w:b/>
              <w:kern w:val="2"/>
              <w:bCs/>
              <w:rFonts w:eastAsia="Aptos" w:cs="Times New Roman"/>
              <w:color w:val="0F243E"/>
            </w:rPr>
            <w:fldChar w:fldCharType="end"/>
          </w:r>
        </w:p>
      </w:sdtContent>
    </w:sdt>
    <w:p>
      <w:pPr>
        <w:pStyle w:val="Titolo1"/>
        <w:widowControl/>
        <w:numPr>
          <w:ilvl w:val="0"/>
          <w:numId w:val="1"/>
        </w:numPr>
        <w:tabs>
          <w:tab w:val="clear" w:pos="720"/>
          <w:tab w:val="left" w:pos="426" w:leader="none"/>
        </w:tabs>
        <w:spacing w:before="0" w:after="120"/>
        <w:jc w:val="both"/>
        <w:rPr>
          <w:rFonts w:ascii="Titillium Web" w:hAnsi="Titillium Web" w:cs="Times New Roman"/>
          <w:b/>
          <w:b/>
          <w:bCs/>
          <w:color w:val="auto"/>
          <w:sz w:val="28"/>
          <w:szCs w:val="28"/>
        </w:rPr>
      </w:pPr>
      <w:bookmarkStart w:id="0" w:name="_Hlk203732458"/>
      <w:bookmarkStart w:id="1" w:name="_Toc215218241"/>
      <w:bookmarkStart w:id="2" w:name="_Toc214529846"/>
      <w:r>
        <w:rPr>
          <w:rFonts w:cs="Times New Roman" w:ascii="Titillium Web" w:hAnsi="Titillium Web"/>
          <w:b/>
          <w:bCs/>
          <w:color w:val="auto"/>
          <w:sz w:val="28"/>
          <w:szCs w:val="28"/>
        </w:rPr>
        <w:t>Finalità, obiettivi e risorse</w:t>
      </w:r>
      <w:bookmarkEnd w:id="1"/>
      <w:bookmarkEnd w:id="2"/>
    </w:p>
    <w:p>
      <w:pPr>
        <w:pStyle w:val="Normal"/>
        <w:jc w:val="both"/>
        <w:rPr/>
      </w:pPr>
      <w:r>
        <w:rPr/>
      </w:r>
    </w:p>
    <w:p>
      <w:pPr>
        <w:pStyle w:val="Titolo2"/>
        <w:widowControl/>
        <w:numPr>
          <w:ilvl w:val="1"/>
          <w:numId w:val="2"/>
        </w:numPr>
        <w:tabs>
          <w:tab w:val="clear" w:pos="720"/>
          <w:tab w:val="left" w:pos="426" w:leader="none"/>
        </w:tabs>
        <w:spacing w:before="0" w:after="120"/>
        <w:ind w:left="0" w:hanging="0"/>
        <w:jc w:val="both"/>
        <w:rPr>
          <w:rFonts w:ascii="Titillium Web" w:hAnsi="Titillium Web" w:cs="Times New Roman"/>
          <w:b/>
          <w:b/>
          <w:bCs/>
          <w:color w:val="auto"/>
          <w:spacing w:val="-2"/>
          <w:sz w:val="24"/>
          <w:szCs w:val="24"/>
        </w:rPr>
      </w:pPr>
      <w:bookmarkStart w:id="3" w:name="_Toc215218242"/>
      <w:bookmarkStart w:id="4" w:name="_Toc214529847"/>
      <w:r>
        <w:rPr>
          <w:rFonts w:cs="Times New Roman" w:ascii="Titillium Web" w:hAnsi="Titillium Web"/>
          <w:b/>
          <w:bCs/>
          <w:color w:val="auto"/>
          <w:sz w:val="24"/>
          <w:szCs w:val="24"/>
        </w:rPr>
        <w:t>Finalità</w:t>
      </w:r>
      <w:r>
        <w:rPr>
          <w:rFonts w:cs="Times New Roman" w:ascii="Titillium Web" w:hAnsi="Titillium Web"/>
          <w:b/>
          <w:bCs/>
          <w:color w:val="auto"/>
          <w:spacing w:val="-1"/>
          <w:sz w:val="24"/>
          <w:szCs w:val="24"/>
        </w:rPr>
        <w:t xml:space="preserve"> </w:t>
      </w:r>
      <w:r>
        <w:rPr>
          <w:rFonts w:cs="Times New Roman" w:ascii="Titillium Web" w:hAnsi="Titillium Web"/>
          <w:b/>
          <w:bCs/>
          <w:color w:val="auto"/>
          <w:sz w:val="24"/>
          <w:szCs w:val="24"/>
        </w:rPr>
        <w:t>e</w:t>
      </w:r>
      <w:r>
        <w:rPr>
          <w:rFonts w:cs="Times New Roman" w:ascii="Titillium Web" w:hAnsi="Titillium Web"/>
          <w:b/>
          <w:bCs/>
          <w:color w:val="auto"/>
          <w:spacing w:val="-1"/>
          <w:sz w:val="24"/>
          <w:szCs w:val="24"/>
        </w:rPr>
        <w:t xml:space="preserve"> </w:t>
      </w:r>
      <w:r>
        <w:rPr>
          <w:rFonts w:cs="Times New Roman" w:ascii="Titillium Web" w:hAnsi="Titillium Web"/>
          <w:b/>
          <w:bCs/>
          <w:color w:val="auto"/>
          <w:spacing w:val="-2"/>
          <w:sz w:val="24"/>
          <w:szCs w:val="24"/>
        </w:rPr>
        <w:t>obiettivi</w:t>
      </w:r>
      <w:bookmarkEnd w:id="3"/>
      <w:bookmarkEnd w:id="4"/>
    </w:p>
    <w:p>
      <w:pPr>
        <w:pStyle w:val="ListParagraph"/>
        <w:widowControl/>
        <w:numPr>
          <w:ilvl w:val="0"/>
          <w:numId w:val="6"/>
        </w:numPr>
        <w:spacing w:before="0" w:after="120"/>
        <w:ind w:left="357" w:hanging="357"/>
        <w:contextualSpacing w:val="false"/>
        <w:jc w:val="both"/>
        <w:rPr>
          <w:rFonts w:cs="Times New Roman"/>
          <w:color w:val="000009"/>
        </w:rPr>
      </w:pPr>
      <w:r>
        <w:rPr>
          <w:rFonts w:cs="Times New Roman"/>
          <w:color w:val="000009"/>
        </w:rPr>
        <w:t>Il bando di cui al presente Avviso è emanato dal Comune di Reggio Calabria nell’ambito dell’azione 1.1.3.1, “Innovazione urbana”, prevista dal “PN Metro Plus Città Medie Sud 2021-2027” - Priorità 1, “Agenda digitale e innovazione urbana”, Obiettivo specifico RSO1.3, “Rafforzare la crescita sostenibile e la competitività delle PMI e la creazione di posti di lavoro nelle PMI, anche grazie agli investimenti produttivi” (FESR).</w:t>
      </w:r>
    </w:p>
    <w:p>
      <w:pPr>
        <w:pStyle w:val="ListParagraph"/>
        <w:widowControl/>
        <w:numPr>
          <w:ilvl w:val="0"/>
          <w:numId w:val="6"/>
        </w:numPr>
        <w:spacing w:before="0" w:after="120"/>
        <w:ind w:left="357" w:hanging="357"/>
        <w:contextualSpacing w:val="false"/>
        <w:jc w:val="both"/>
        <w:rPr>
          <w:rFonts w:cs="Times New Roman"/>
          <w:color w:val="000009"/>
        </w:rPr>
      </w:pPr>
      <w:r>
        <w:rPr>
          <w:rFonts w:cs="Times New Roman"/>
          <w:color w:val="000009"/>
        </w:rPr>
        <w:t>L’Avviso ha l’obiettivo di promuovere progetti di investimento volti a sostenere la crescita sostenibile e la competitività delle micro e piccole imprese commerciali, artigianali e dei servizi nel centro storico della Città di Reggio Calabria.</w:t>
      </w:r>
    </w:p>
    <w:p>
      <w:pPr>
        <w:pStyle w:val="ListParagraph"/>
        <w:widowControl/>
        <w:numPr>
          <w:ilvl w:val="0"/>
          <w:numId w:val="6"/>
        </w:numPr>
        <w:spacing w:before="0" w:after="120"/>
        <w:ind w:left="357" w:hanging="357"/>
        <w:contextualSpacing w:val="false"/>
        <w:jc w:val="both"/>
        <w:rPr>
          <w:rFonts w:cs="Times New Roman"/>
          <w:color w:val="000009"/>
        </w:rPr>
      </w:pPr>
      <w:r>
        <w:rPr>
          <w:rFonts w:cs="Times New Roman"/>
          <w:color w:val="000009"/>
        </w:rPr>
        <w:t xml:space="preserve">Le risorse messe a disposizione dal Comune di Reggio Calabria per il presente bando, finanziato nell’ambito del progetto RC1.1.3.1.a - Sostegno alle Start – up e PMI, ammontano ad </w:t>
      </w:r>
      <w:r>
        <w:rPr>
          <w:rFonts w:cs="Times New Roman"/>
          <w:bCs/>
          <w:color w:val="000009"/>
        </w:rPr>
        <w:t>€ 1.200.000,00.</w:t>
      </w:r>
    </w:p>
    <w:p>
      <w:pPr>
        <w:pStyle w:val="ListParagraph"/>
        <w:numPr>
          <w:ilvl w:val="0"/>
          <w:numId w:val="6"/>
        </w:numPr>
        <w:spacing w:before="0" w:after="120"/>
        <w:ind w:left="357" w:hanging="357"/>
        <w:contextualSpacing w:val="false"/>
        <w:jc w:val="both"/>
        <w:rPr>
          <w:rFonts w:cs="Times New Roman"/>
          <w:color w:val="000009"/>
        </w:rPr>
      </w:pPr>
      <w:r>
        <w:rPr>
          <w:rFonts w:cs="Times New Roman"/>
          <w:color w:val="000009"/>
        </w:rPr>
        <w:t>Con il progetto RC1.1.3.1.a - Sostegno alle Start – up e PMI si introducono azioni di attrazione degli investimenti, di sostegno e promozione imprenditoriale che favoriscano l’occupazione anche nell’ottica dell’auto-imprenditorialità attraverso:</w:t>
      </w:r>
    </w:p>
    <w:p>
      <w:pPr>
        <w:pStyle w:val="ListParagraph"/>
        <w:widowControl/>
        <w:numPr>
          <w:ilvl w:val="0"/>
          <w:numId w:val="7"/>
        </w:numPr>
        <w:spacing w:before="0" w:after="120"/>
        <w:ind w:left="714" w:hanging="357"/>
        <w:contextualSpacing w:val="false"/>
        <w:jc w:val="both"/>
        <w:rPr>
          <w:rFonts w:cs="Times New Roman"/>
          <w:color w:val="000009"/>
        </w:rPr>
      </w:pPr>
      <w:r>
        <w:rPr>
          <w:rFonts w:cs="Times New Roman"/>
          <w:color w:val="000009"/>
        </w:rPr>
        <w:t>La promozione e sostegno alle nuove imprese nel settore artigianale, commerciale e dei servizi;</w:t>
      </w:r>
    </w:p>
    <w:p>
      <w:pPr>
        <w:pStyle w:val="ListParagraph"/>
        <w:widowControl/>
        <w:numPr>
          <w:ilvl w:val="0"/>
          <w:numId w:val="7"/>
        </w:numPr>
        <w:spacing w:before="0" w:after="120"/>
        <w:ind w:left="714" w:hanging="357"/>
        <w:contextualSpacing w:val="false"/>
        <w:jc w:val="both"/>
        <w:rPr>
          <w:rFonts w:cs="Times New Roman"/>
          <w:color w:val="000009"/>
        </w:rPr>
      </w:pPr>
      <w:r>
        <w:rPr>
          <w:rFonts w:cs="Times New Roman"/>
          <w:color w:val="000009"/>
        </w:rPr>
        <w:t>Il sostegno agli investimenti in favore di imprese già attive;</w:t>
      </w:r>
    </w:p>
    <w:p>
      <w:pPr>
        <w:pStyle w:val="ListParagraph"/>
        <w:widowControl/>
        <w:numPr>
          <w:ilvl w:val="0"/>
          <w:numId w:val="7"/>
        </w:numPr>
        <w:spacing w:before="0" w:after="120"/>
        <w:ind w:left="714" w:hanging="357"/>
        <w:contextualSpacing w:val="false"/>
        <w:jc w:val="both"/>
        <w:rPr>
          <w:rFonts w:cs="Times New Roman"/>
          <w:color w:val="000009"/>
        </w:rPr>
      </w:pPr>
      <w:r>
        <w:rPr>
          <w:rFonts w:cs="Times New Roman"/>
          <w:color w:val="000009"/>
        </w:rPr>
        <w:t>La rivitalizzazione delle aree commerciali nel centro storico e/o in aree limitrofe a rischio di desertificazione commerciale.</w:t>
      </w:r>
    </w:p>
    <w:p>
      <w:pPr>
        <w:pStyle w:val="ListParagraph"/>
        <w:widowControl/>
        <w:numPr>
          <w:ilvl w:val="0"/>
          <w:numId w:val="6"/>
        </w:numPr>
        <w:spacing w:before="0" w:after="120"/>
        <w:ind w:left="357" w:hanging="357"/>
        <w:contextualSpacing w:val="false"/>
        <w:jc w:val="both"/>
        <w:rPr>
          <w:rFonts w:cs="Times New Roman"/>
          <w:color w:val="auto"/>
        </w:rPr>
      </w:pPr>
      <w:r>
        <w:rPr>
          <w:rFonts w:cs="Times New Roman"/>
          <w:color w:val="auto"/>
        </w:rPr>
        <w:t xml:space="preserve">Il presente Avviso si ispira al principio del “non arrecare danno significativo (cd. “Do No Significant Harm” – DNSH), secondo il quale nessuna misura finanziata deve arrecare danno agli obiettivi ambientali e ostacolare la mitigazione dei cambiamenti climatici, in coerenza con l’art. 17 del Regolamento (UE) 2020/852 e al principio del contributo all’obiettivo climatico e digitale (cd. Tagging), teso al conseguimento e perseguimento degli obiettivi climatici e della transizione digitale. </w:t>
      </w:r>
    </w:p>
    <w:p>
      <w:pPr>
        <w:pStyle w:val="ListParagraph"/>
        <w:widowControl/>
        <w:numPr>
          <w:ilvl w:val="0"/>
          <w:numId w:val="6"/>
        </w:numPr>
        <w:spacing w:before="0" w:after="120"/>
        <w:ind w:left="357" w:hanging="357"/>
        <w:contextualSpacing w:val="false"/>
        <w:jc w:val="both"/>
        <w:rPr>
          <w:rFonts w:cs="Times New Roman"/>
          <w:color w:val="000009"/>
        </w:rPr>
      </w:pPr>
      <w:r>
        <w:rPr>
          <w:rFonts w:cs="Times New Roman"/>
          <w:color w:val="auto"/>
        </w:rPr>
        <w:t>In particolare</w:t>
      </w:r>
      <w:r>
        <w:rPr>
          <w:rFonts w:cs="Times New Roman"/>
          <w:color w:val="000009"/>
        </w:rPr>
        <w:t>, l’Avviso prevede specificatamente la concessione di contributi economici a fondo perduto per supportare la crescita economica della Città aiutando le attività esistenti e supportando la nascita di nuove realtà che operano o intendono operare nei settori del commercio, artigianato, servizi e che sono finalizzate a realizzare uno o più dei seguenti interventi:</w:t>
      </w:r>
    </w:p>
    <w:p>
      <w:pPr>
        <w:pStyle w:val="ListParagraph"/>
        <w:widowControl/>
        <w:numPr>
          <w:ilvl w:val="0"/>
          <w:numId w:val="8"/>
        </w:numPr>
        <w:spacing w:before="0" w:after="120"/>
        <w:ind w:left="714" w:hanging="357"/>
        <w:contextualSpacing w:val="false"/>
        <w:jc w:val="both"/>
        <w:rPr>
          <w:rFonts w:cs="Times New Roman"/>
          <w:color w:val="auto"/>
        </w:rPr>
      </w:pPr>
      <w:r>
        <w:rPr>
          <w:rFonts w:cs="Times New Roman"/>
          <w:bCs/>
          <w:color w:val="000009"/>
        </w:rPr>
        <w:t>Ampliamento/ammodernamento/</w:t>
      </w:r>
      <w:r>
        <w:rPr>
          <w:rFonts w:cs="Times New Roman"/>
          <w:bCs/>
          <w:color w:val="auto"/>
        </w:rPr>
        <w:t>riorganizzazione delle superfici di produzione e/o di vendita o apertura di nuove unità produttive (per le imprese esistenti</w:t>
      </w:r>
      <w:r>
        <w:rPr>
          <w:rFonts w:cs="Times New Roman"/>
          <w:color w:val="auto"/>
        </w:rPr>
        <w:t>);</w:t>
      </w:r>
    </w:p>
    <w:p>
      <w:pPr>
        <w:pStyle w:val="ListParagraph"/>
        <w:widowControl/>
        <w:numPr>
          <w:ilvl w:val="0"/>
          <w:numId w:val="8"/>
        </w:numPr>
        <w:spacing w:before="0" w:after="120"/>
        <w:ind w:left="714" w:hanging="357"/>
        <w:contextualSpacing w:val="false"/>
        <w:jc w:val="both"/>
        <w:rPr>
          <w:rFonts w:cs="Times New Roman"/>
          <w:color w:val="auto"/>
        </w:rPr>
      </w:pPr>
      <w:r>
        <w:rPr>
          <w:rFonts w:cs="Times New Roman"/>
          <w:bCs/>
          <w:color w:val="auto"/>
        </w:rPr>
        <w:t>nuovi insediamenti</w:t>
      </w:r>
      <w:r>
        <w:rPr>
          <w:rFonts w:cs="Times New Roman"/>
          <w:color w:val="auto"/>
        </w:rPr>
        <w:t xml:space="preserve"> (</w:t>
      </w:r>
      <w:r>
        <w:rPr>
          <w:rFonts w:cs="Times New Roman"/>
          <w:bCs/>
          <w:color w:val="auto"/>
        </w:rPr>
        <w:t>per le nuove imprese</w:t>
      </w:r>
      <w:r>
        <w:rPr>
          <w:rFonts w:cs="Times New Roman"/>
          <w:color w:val="auto"/>
        </w:rPr>
        <w:t>);</w:t>
      </w:r>
    </w:p>
    <w:p>
      <w:pPr>
        <w:pStyle w:val="ListParagraph"/>
        <w:widowControl/>
        <w:numPr>
          <w:ilvl w:val="0"/>
          <w:numId w:val="8"/>
        </w:numPr>
        <w:spacing w:before="0" w:after="120"/>
        <w:ind w:left="714" w:hanging="357"/>
        <w:contextualSpacing w:val="false"/>
        <w:jc w:val="both"/>
        <w:rPr>
          <w:rFonts w:cs="Times New Roman"/>
          <w:color w:val="auto"/>
        </w:rPr>
      </w:pPr>
      <w:r>
        <w:rPr>
          <w:rFonts w:cs="Times New Roman"/>
          <w:bCs/>
          <w:color w:val="auto"/>
        </w:rPr>
        <w:t>digitalizzazione</w:t>
      </w:r>
      <w:r>
        <w:rPr>
          <w:rFonts w:cs="Times New Roman"/>
          <w:color w:val="auto"/>
        </w:rPr>
        <w:t xml:space="preserve"> (software gestionali: Sistemi ERP, CRM, e altri software per la gestione dei processi aziendali; Cloud computing; Big Data e Analytics, Cybersecurity, Strumenti di collaborazione, Automazione dei processi (RPA), </w:t>
      </w:r>
      <w:r>
        <w:rPr>
          <w:rFonts w:cs="Times New Roman"/>
          <w:bCs/>
          <w:color w:val="auto"/>
        </w:rPr>
        <w:t>commercio elettronico, multimedialità (per le imprese esistenti)</w:t>
      </w:r>
      <w:r>
        <w:rPr>
          <w:rFonts w:cs="Times New Roman"/>
          <w:color w:val="auto"/>
        </w:rPr>
        <w:t>;</w:t>
      </w:r>
    </w:p>
    <w:p>
      <w:pPr>
        <w:pStyle w:val="ListParagraph"/>
        <w:widowControl/>
        <w:numPr>
          <w:ilvl w:val="0"/>
          <w:numId w:val="8"/>
        </w:numPr>
        <w:spacing w:before="0" w:after="120"/>
        <w:ind w:left="714" w:hanging="357"/>
        <w:contextualSpacing w:val="false"/>
        <w:jc w:val="both"/>
        <w:rPr>
          <w:rFonts w:cs="Times New Roman"/>
          <w:color w:val="auto"/>
        </w:rPr>
      </w:pPr>
      <w:r>
        <w:rPr>
          <w:rFonts w:cs="Times New Roman"/>
          <w:bCs/>
          <w:color w:val="auto"/>
        </w:rPr>
        <w:t>sostenibilità tecnologica, ambientale</w:t>
      </w:r>
      <w:r>
        <w:rPr>
          <w:rFonts w:cs="Times New Roman"/>
          <w:color w:val="auto"/>
        </w:rPr>
        <w:t xml:space="preserve"> (tecnologie più efficienti dal punto di vista energetico, gestione circolare delle risorse, mobilità sostenibile, sensori e piattaforme digitali per monitorare l'inquinamento, la qualità dell'aria e dell'acqua, etc.), </w:t>
      </w:r>
      <w:r>
        <w:rPr>
          <w:rFonts w:cs="Times New Roman"/>
          <w:bCs/>
          <w:color w:val="auto"/>
        </w:rPr>
        <w:t>gestione di rifiuti, scarti, eccedenze alimentari (per le imprese esistenti)</w:t>
      </w:r>
      <w:r>
        <w:rPr>
          <w:rFonts w:cs="Times New Roman"/>
          <w:color w:val="auto"/>
        </w:rPr>
        <w:t>;</w:t>
      </w:r>
    </w:p>
    <w:p>
      <w:pPr>
        <w:pStyle w:val="ListParagraph"/>
        <w:widowControl/>
        <w:numPr>
          <w:ilvl w:val="0"/>
          <w:numId w:val="8"/>
        </w:numPr>
        <w:spacing w:before="0" w:after="120"/>
        <w:ind w:left="714" w:hanging="357"/>
        <w:contextualSpacing w:val="false"/>
        <w:jc w:val="both"/>
        <w:rPr>
          <w:rFonts w:cs="Times New Roman"/>
          <w:color w:val="auto"/>
        </w:rPr>
      </w:pPr>
      <w:r>
        <w:rPr>
          <w:rFonts w:cs="Times New Roman"/>
          <w:bCs/>
          <w:color w:val="000009"/>
        </w:rPr>
        <w:t xml:space="preserve">salute e sicurezza dei lavoratori e dei clienti </w:t>
      </w:r>
      <w:r>
        <w:rPr>
          <w:rFonts w:cs="Times New Roman"/>
          <w:color w:val="000009"/>
        </w:rPr>
        <w:t>(dispositivi di protezione individuale, installazione di barriere protettive, predisposizione di sistemi di allarme, progettazione sicura degli ambienti di lavoro, eliminazione barriere architettoniche, miglioramento sistemi di Gestione della Sicurezza sul Lavoro, etc</w:t>
      </w:r>
      <w:r>
        <w:rPr>
          <w:rFonts w:cs="Times New Roman"/>
          <w:color w:val="auto"/>
        </w:rPr>
        <w:t xml:space="preserve">.) </w:t>
      </w:r>
      <w:r>
        <w:rPr>
          <w:rFonts w:cs="Times New Roman"/>
          <w:bCs/>
          <w:color w:val="auto"/>
        </w:rPr>
        <w:t>(per le imprese esistenti)</w:t>
      </w:r>
      <w:r>
        <w:rPr>
          <w:rFonts w:cs="Times New Roman"/>
          <w:color w:val="auto"/>
        </w:rPr>
        <w:t>.</w:t>
      </w:r>
    </w:p>
    <w:p>
      <w:pPr>
        <w:pStyle w:val="ListParagraph"/>
        <w:widowControl/>
        <w:numPr>
          <w:ilvl w:val="0"/>
          <w:numId w:val="6"/>
        </w:numPr>
        <w:spacing w:before="0" w:after="120"/>
        <w:contextualSpacing w:val="false"/>
        <w:jc w:val="both"/>
        <w:rPr>
          <w:rFonts w:cs="Times New Roman"/>
          <w:color w:val="000009"/>
        </w:rPr>
      </w:pPr>
      <w:r>
        <w:rPr>
          <w:rFonts w:cs="Times New Roman"/>
          <w:color w:val="000009"/>
        </w:rPr>
        <w:t>Gli interventi oggetto di agevolazione dovranno essere realizzati nel centro storico e nelle aree delimitate dal Comune di Reggio Calabria come riportato nell’Allegato E “Aree Ammissibili”.</w:t>
      </w:r>
    </w:p>
    <w:p>
      <w:pPr>
        <w:pStyle w:val="Normal"/>
        <w:jc w:val="both"/>
        <w:rPr>
          <w:rFonts w:cs="Times New Roman"/>
          <w:color w:val="000009"/>
        </w:rPr>
      </w:pPr>
      <w:r>
        <w:rPr>
          <w:rFonts w:cs="Times New Roman"/>
          <w:color w:val="000009"/>
        </w:rPr>
      </w:r>
    </w:p>
    <w:p>
      <w:pPr>
        <w:pStyle w:val="Titolo2"/>
        <w:widowControl/>
        <w:numPr>
          <w:ilvl w:val="1"/>
          <w:numId w:val="2"/>
        </w:numPr>
        <w:tabs>
          <w:tab w:val="clear" w:pos="720"/>
          <w:tab w:val="left" w:pos="426" w:leader="none"/>
        </w:tabs>
        <w:spacing w:before="0" w:after="120"/>
        <w:ind w:left="0" w:hanging="0"/>
        <w:jc w:val="both"/>
        <w:rPr>
          <w:rFonts w:ascii="Titillium Web" w:hAnsi="Titillium Web" w:cs="Times New Roman"/>
          <w:b/>
          <w:b/>
          <w:bCs/>
          <w:color w:val="auto"/>
          <w:sz w:val="24"/>
          <w:szCs w:val="24"/>
        </w:rPr>
      </w:pPr>
      <w:bookmarkStart w:id="5" w:name="_Toc215218243"/>
      <w:bookmarkStart w:id="6" w:name="_Toc214529848"/>
      <w:r>
        <w:rPr>
          <w:rFonts w:cs="Times New Roman" w:ascii="Titillium Web" w:hAnsi="Titillium Web"/>
          <w:b/>
          <w:bCs/>
          <w:color w:val="auto"/>
          <w:sz w:val="24"/>
          <w:szCs w:val="24"/>
        </w:rPr>
        <w:t>Base giuridica e forma dell’aiuto</w:t>
      </w:r>
      <w:bookmarkEnd w:id="5"/>
      <w:bookmarkEnd w:id="6"/>
    </w:p>
    <w:p>
      <w:pPr>
        <w:pStyle w:val="ListParagraph"/>
        <w:widowControl/>
        <w:numPr>
          <w:ilvl w:val="0"/>
          <w:numId w:val="9"/>
        </w:numPr>
        <w:spacing w:before="0" w:after="120"/>
        <w:contextualSpacing w:val="false"/>
        <w:jc w:val="both"/>
        <w:rPr>
          <w:rFonts w:cs="Times New Roman"/>
          <w:color w:val="000009"/>
        </w:rPr>
      </w:pPr>
      <w:r>
        <w:rPr>
          <w:rFonts w:cs="Times New Roman"/>
          <w:color w:val="000009"/>
        </w:rPr>
        <w:t>Il presente Avviso prevede la concessione di un aiuto sotto forma di contributo in conto capitale, sulla base di una procedura valutativa a sportello.</w:t>
      </w:r>
    </w:p>
    <w:p>
      <w:pPr>
        <w:pStyle w:val="ListParagraph"/>
        <w:widowControl/>
        <w:numPr>
          <w:ilvl w:val="0"/>
          <w:numId w:val="9"/>
        </w:numPr>
        <w:spacing w:before="0" w:after="120"/>
        <w:contextualSpacing w:val="false"/>
        <w:jc w:val="both"/>
        <w:rPr>
          <w:rFonts w:cs="Times New Roman"/>
          <w:color w:val="000009"/>
        </w:rPr>
      </w:pPr>
      <w:r>
        <w:rPr>
          <w:rFonts w:cs="Times New Roman"/>
          <w:color w:val="000009"/>
        </w:rPr>
        <w:t xml:space="preserve">Gli aiuti sono concessi in conformità con il Regolamento (UE) n. 1407/2013 della Commissione del 18 dicembre 2013 relativo all’applicazione degli articoli 107 e 108 del Trattato agli Aiuti d’importanza minore </w:t>
      </w:r>
      <w:r>
        <w:rPr>
          <w:rFonts w:cs="Times New Roman"/>
          <w:i/>
          <w:color w:val="000009"/>
        </w:rPr>
        <w:t>de minimis</w:t>
      </w:r>
      <w:r>
        <w:rPr>
          <w:rFonts w:cs="Times New Roman"/>
          <w:color w:val="000009"/>
        </w:rPr>
        <w:t>.</w:t>
      </w:r>
      <w:bookmarkEnd w:id="0"/>
    </w:p>
    <w:p>
      <w:pPr>
        <w:pStyle w:val="Normal"/>
        <w:jc w:val="both"/>
        <w:rPr>
          <w:rFonts w:cs="Times New Roman"/>
          <w:color w:val="000009"/>
        </w:rPr>
      </w:pPr>
      <w:r>
        <w:rPr>
          <w:rFonts w:cs="Times New Roman"/>
          <w:color w:val="000009"/>
        </w:rPr>
      </w:r>
      <w:bookmarkStart w:id="7" w:name="_Hlk203732694"/>
      <w:bookmarkStart w:id="8" w:name="_Hlk203732694"/>
      <w:bookmarkEnd w:id="8"/>
    </w:p>
    <w:p>
      <w:pPr>
        <w:pStyle w:val="Titolo2"/>
        <w:widowControl/>
        <w:numPr>
          <w:ilvl w:val="1"/>
          <w:numId w:val="2"/>
        </w:numPr>
        <w:tabs>
          <w:tab w:val="clear" w:pos="720"/>
          <w:tab w:val="left" w:pos="426" w:leader="none"/>
        </w:tabs>
        <w:spacing w:before="0" w:after="120"/>
        <w:ind w:left="0" w:hanging="0"/>
        <w:jc w:val="both"/>
        <w:rPr>
          <w:rFonts w:ascii="Titillium Web" w:hAnsi="Titillium Web" w:cs="Times New Roman"/>
          <w:b/>
          <w:b/>
          <w:bCs/>
          <w:color w:val="auto"/>
          <w:sz w:val="24"/>
          <w:szCs w:val="24"/>
        </w:rPr>
      </w:pPr>
      <w:bookmarkStart w:id="9" w:name="_Toc215218244"/>
      <w:bookmarkStart w:id="10" w:name="_Toc214529849"/>
      <w:r>
        <w:rPr>
          <w:rFonts w:cs="Times New Roman" w:ascii="Titillium Web" w:hAnsi="Titillium Web"/>
          <w:b/>
          <w:bCs/>
          <w:color w:val="auto"/>
          <w:sz w:val="24"/>
          <w:szCs w:val="24"/>
        </w:rPr>
        <w:t>Linee di intervento e dotazione finanziaria</w:t>
      </w:r>
      <w:bookmarkEnd w:id="9"/>
      <w:bookmarkEnd w:id="10"/>
    </w:p>
    <w:p>
      <w:pPr>
        <w:pStyle w:val="ListParagraph"/>
        <w:widowControl/>
        <w:numPr>
          <w:ilvl w:val="0"/>
          <w:numId w:val="10"/>
        </w:numPr>
        <w:spacing w:before="0" w:after="120"/>
        <w:contextualSpacing w:val="false"/>
        <w:jc w:val="both"/>
        <w:rPr>
          <w:rFonts w:cs="Times New Roman"/>
          <w:color w:val="000009"/>
        </w:rPr>
      </w:pPr>
      <w:r>
        <w:rPr>
          <w:rFonts w:cs="Times New Roman"/>
          <w:color w:val="000009"/>
        </w:rPr>
        <w:t>L’ Avviso sostiene due linee di intervento:</w:t>
      </w:r>
    </w:p>
    <w:p>
      <w:pPr>
        <w:pStyle w:val="Normal"/>
        <w:spacing w:before="0" w:after="120"/>
        <w:ind w:left="357" w:hanging="0"/>
        <w:jc w:val="both"/>
        <w:rPr>
          <w:rFonts w:cs="Times New Roman"/>
          <w:color w:val="auto"/>
        </w:rPr>
      </w:pPr>
      <w:r>
        <w:rPr>
          <w:rFonts w:cs="Times New Roman"/>
          <w:b/>
          <w:bCs/>
          <w:color w:val="000000"/>
          <w:u w:val="single"/>
          <w:shd w:fill="FFFFFF" w:val="clear"/>
        </w:rPr>
        <w:t>Linea A</w:t>
      </w:r>
      <w:r>
        <w:rPr>
          <w:rFonts w:cs="Times New Roman"/>
          <w:color w:val="auto"/>
        </w:rPr>
        <w:t xml:space="preserve">: </w:t>
      </w:r>
      <w:bookmarkStart w:id="11" w:name="_Hlk202872316"/>
      <w:r>
        <w:rPr>
          <w:rStyle w:val="BookTitle"/>
          <w:rFonts w:cs="Times New Roman"/>
          <w:caps w:val="false"/>
          <w:smallCaps w:val="false"/>
          <w:color w:val="auto"/>
        </w:rPr>
        <w:t xml:space="preserve">Riqualificazione e valorizzazione del centro storico di Reggio Calabria - IMPRESE ESISTENTI. </w:t>
      </w:r>
      <w:bookmarkEnd w:id="11"/>
      <w:r>
        <w:rPr>
          <w:rStyle w:val="BookTitle"/>
          <w:rFonts w:cs="Times New Roman"/>
          <w:caps w:val="false"/>
          <w:smallCaps w:val="false"/>
          <w:color w:val="auto"/>
        </w:rPr>
        <w:t>Dotazione finanziaria disponibile pari ad euro</w:t>
      </w:r>
      <w:r>
        <w:rPr>
          <w:rStyle w:val="BookTitle"/>
          <w:rFonts w:cs="Times New Roman"/>
          <w:color w:val="auto"/>
        </w:rPr>
        <w:t xml:space="preserve"> 500.000,00</w:t>
      </w:r>
    </w:p>
    <w:p>
      <w:pPr>
        <w:pStyle w:val="Normal"/>
        <w:tabs>
          <w:tab w:val="clear" w:pos="720"/>
          <w:tab w:val="left" w:pos="411" w:leader="none"/>
          <w:tab w:val="left" w:pos="413" w:leader="none"/>
        </w:tabs>
        <w:spacing w:before="0" w:after="120"/>
        <w:ind w:left="357" w:hanging="0"/>
        <w:jc w:val="both"/>
        <w:rPr>
          <w:rFonts w:cs="Times New Roman"/>
          <w:color w:val="auto"/>
          <w:spacing w:val="10"/>
        </w:rPr>
      </w:pPr>
      <w:r>
        <w:rPr>
          <w:rFonts w:cs="Times New Roman"/>
          <w:b/>
          <w:bCs/>
          <w:color w:val="000000"/>
          <w:u w:val="single"/>
          <w:shd w:fill="FFFFFF" w:val="clear"/>
        </w:rPr>
        <w:t>Linea B</w:t>
      </w:r>
      <w:r>
        <w:rPr>
          <w:rFonts w:cs="Times New Roman"/>
          <w:color w:val="000000"/>
          <w:shd w:fill="FFFFFF" w:val="clear"/>
        </w:rPr>
        <w:t>:</w:t>
      </w:r>
      <w:r>
        <w:rPr>
          <w:rStyle w:val="BookTitle"/>
          <w:rFonts w:cs="Times New Roman"/>
          <w:color w:val="auto"/>
        </w:rPr>
        <w:t xml:space="preserve"> </w:t>
      </w:r>
      <w:bookmarkStart w:id="12" w:name="_Hlk203580108"/>
      <w:r>
        <w:rPr>
          <w:rStyle w:val="BookTitle"/>
          <w:rFonts w:cs="Times New Roman"/>
          <w:caps w:val="false"/>
          <w:smallCaps w:val="false"/>
          <w:color w:val="auto"/>
        </w:rPr>
        <w:t>Riqualificazione e valorizzazione del centro storico di Reggio Calabria - NUOVE IMPRESE</w:t>
      </w:r>
      <w:bookmarkEnd w:id="12"/>
      <w:r>
        <w:rPr>
          <w:rStyle w:val="BookTitle"/>
          <w:rFonts w:cs="Times New Roman"/>
          <w:caps w:val="false"/>
          <w:smallCaps w:val="false"/>
          <w:color w:val="auto"/>
        </w:rPr>
        <w:t>. Dotazione finanziaria disponibile pari ad euro</w:t>
      </w:r>
      <w:r>
        <w:rPr>
          <w:rStyle w:val="BookTitle"/>
          <w:rFonts w:cs="Times New Roman"/>
          <w:color w:val="auto"/>
        </w:rPr>
        <w:t xml:space="preserve"> 700.000,00.</w:t>
      </w:r>
    </w:p>
    <w:p>
      <w:pPr>
        <w:pStyle w:val="ListParagraph"/>
        <w:widowControl/>
        <w:numPr>
          <w:ilvl w:val="0"/>
          <w:numId w:val="10"/>
        </w:numPr>
        <w:spacing w:before="0" w:after="120"/>
        <w:ind w:left="357" w:hanging="357"/>
        <w:contextualSpacing w:val="false"/>
        <w:jc w:val="both"/>
        <w:rPr>
          <w:rFonts w:cs="Times New Roman"/>
          <w:color w:val="000009"/>
        </w:rPr>
      </w:pPr>
      <w:r>
        <w:rPr>
          <w:rFonts w:cs="Times New Roman"/>
          <w:color w:val="000009"/>
        </w:rPr>
        <w:t>Le risorse finanziarie potranno essere integrate mediante eventuali dotazioni aggiuntive, al fine di aumentare l’efficacia dell’intervento finanziario, tramite apposito provvedimento. Qualora le risorse assegnate per una delle linee di intervento non venissero assorbite entro tempi congrui alla chiusura del progetto del PN Metro Plus RC1.1.3.1.a, l’Amministrazione si riserva di utilizzarle per finanziare iniziative proposte nell’ambito dell’altra linea di intervento di cui al presente avviso.</w:t>
      </w:r>
    </w:p>
    <w:p>
      <w:pPr>
        <w:pStyle w:val="ListParagraph"/>
        <w:widowControl/>
        <w:numPr>
          <w:ilvl w:val="0"/>
          <w:numId w:val="10"/>
        </w:numPr>
        <w:spacing w:before="0" w:after="120"/>
        <w:ind w:left="357" w:hanging="357"/>
        <w:contextualSpacing w:val="false"/>
        <w:jc w:val="both"/>
        <w:rPr>
          <w:rFonts w:cs="Times New Roman"/>
          <w:color w:val="000009"/>
        </w:rPr>
      </w:pPr>
      <w:r>
        <w:rPr>
          <w:rFonts w:cs="Times New Roman"/>
          <w:color w:val="000009"/>
        </w:rPr>
        <w:t>L’Amministrazione si riserva inoltre di revocare l’avviso o di ridurne la dotazione finanziaria in caso di provvedimenti dell’Organismo Intermedio che riducano l’importo ammesso a finanziamento per il progetto RC1.1.3.1.a.</w:t>
      </w:r>
    </w:p>
    <w:p>
      <w:pPr>
        <w:pStyle w:val="Normal"/>
        <w:jc w:val="both"/>
        <w:rPr>
          <w:rFonts w:cs="Times New Roman"/>
          <w:color w:val="000009"/>
        </w:rPr>
      </w:pPr>
      <w:r>
        <w:rPr>
          <w:rFonts w:cs="Times New Roman"/>
          <w:color w:val="000009"/>
        </w:rPr>
      </w:r>
    </w:p>
    <w:p>
      <w:pPr>
        <w:pStyle w:val="Titolo2"/>
        <w:widowControl/>
        <w:numPr>
          <w:ilvl w:val="1"/>
          <w:numId w:val="2"/>
        </w:numPr>
        <w:tabs>
          <w:tab w:val="clear" w:pos="720"/>
          <w:tab w:val="left" w:pos="426" w:leader="none"/>
        </w:tabs>
        <w:spacing w:before="0" w:after="120"/>
        <w:ind w:left="0" w:hanging="0"/>
        <w:jc w:val="both"/>
        <w:rPr>
          <w:rFonts w:ascii="Titillium Web" w:hAnsi="Titillium Web" w:cs="Times New Roman"/>
          <w:b/>
          <w:b/>
          <w:bCs/>
          <w:color w:val="auto"/>
          <w:sz w:val="24"/>
          <w:szCs w:val="24"/>
        </w:rPr>
      </w:pPr>
      <w:bookmarkStart w:id="13" w:name="_Toc215218245"/>
      <w:bookmarkStart w:id="14" w:name="_Toc214529850"/>
      <w:r>
        <w:rPr>
          <w:rFonts w:cs="Times New Roman" w:ascii="Titillium Web" w:hAnsi="Titillium Web"/>
          <w:b/>
          <w:bCs/>
          <w:color w:val="auto"/>
          <w:sz w:val="24"/>
          <w:szCs w:val="24"/>
        </w:rPr>
        <w:t>Riferimenti normativi e amministrativi dell’avviso</w:t>
      </w:r>
      <w:bookmarkEnd w:id="13"/>
      <w:bookmarkEnd w:id="14"/>
    </w:p>
    <w:p>
      <w:pPr>
        <w:pStyle w:val="ListParagraph"/>
        <w:widowControl/>
        <w:numPr>
          <w:ilvl w:val="0"/>
          <w:numId w:val="11"/>
        </w:numPr>
        <w:spacing w:before="0" w:after="120"/>
        <w:contextualSpacing w:val="false"/>
        <w:jc w:val="both"/>
        <w:rPr>
          <w:rFonts w:cs="Times New Roman"/>
          <w:color w:val="000009"/>
        </w:rPr>
      </w:pPr>
      <w:r>
        <w:rPr>
          <w:rFonts w:cs="Times New Roman"/>
          <w:color w:val="000009"/>
        </w:rPr>
        <w:t>L’Avviso è emanato in attuazione della seguente normativa comunitaria, nazionale e regionale e dei relativi provvedimenti amministrativi attuativi ai quali i beneficiari dovranno conformarsi:</w:t>
      </w:r>
    </w:p>
    <w:p>
      <w:pPr>
        <w:pStyle w:val="ListParagraph"/>
        <w:widowControl/>
        <w:numPr>
          <w:ilvl w:val="1"/>
          <w:numId w:val="1"/>
        </w:numPr>
        <w:spacing w:before="0" w:after="120"/>
        <w:ind w:left="714" w:hanging="357"/>
        <w:contextualSpacing w:val="false"/>
        <w:jc w:val="both"/>
        <w:rPr>
          <w:rFonts w:cs="Times New Roman"/>
          <w:color w:val="000009"/>
        </w:rPr>
      </w:pPr>
      <w:r>
        <w:rPr>
          <w:rFonts w:cs="Times New Roman"/>
          <w:color w:val="000009"/>
        </w:rPr>
        <w:t>Regolamento (UE) n. 651/2014 della Commissione del 17 giugno 2014 che dichiara alcune categorie di aiuti compatibili con il mercato interno in applicazione degli artt. 107 e 108 del Trattato sul funzionamento dell’Unione europea e s.m.i.;</w:t>
      </w:r>
    </w:p>
    <w:p>
      <w:pPr>
        <w:pStyle w:val="ListParagraph"/>
        <w:widowControl/>
        <w:numPr>
          <w:ilvl w:val="1"/>
          <w:numId w:val="1"/>
        </w:numPr>
        <w:spacing w:before="0" w:after="120"/>
        <w:ind w:left="714" w:hanging="357"/>
        <w:contextualSpacing w:val="false"/>
        <w:jc w:val="both"/>
        <w:rPr>
          <w:rFonts w:cs="Times New Roman"/>
          <w:color w:val="000009"/>
        </w:rPr>
      </w:pPr>
      <w:r>
        <w:rPr>
          <w:rFonts w:cs="Times New Roman"/>
          <w:color w:val="000009"/>
        </w:rPr>
        <w:t>Regolamento (UE) n. 2023/2831 della Commissione del 13 dicembre 2023, relativo all’applicazione degli articoli 107 e 108 del Trattato sul funzionamento dell’Unione europea agli aiuti de minimis;</w:t>
      </w:r>
    </w:p>
    <w:p>
      <w:pPr>
        <w:pStyle w:val="ListParagraph"/>
        <w:widowControl/>
        <w:numPr>
          <w:ilvl w:val="1"/>
          <w:numId w:val="1"/>
        </w:numPr>
        <w:spacing w:before="0" w:after="120"/>
        <w:ind w:left="714" w:hanging="357"/>
        <w:contextualSpacing w:val="false"/>
        <w:jc w:val="both"/>
        <w:rPr>
          <w:rFonts w:cs="Times New Roman"/>
          <w:color w:val="000009"/>
        </w:rPr>
      </w:pPr>
      <w:r>
        <w:rPr>
          <w:rFonts w:cs="Times New Roman"/>
          <w:color w:val="000009"/>
        </w:rPr>
        <w:t>Comunicazione della Commissione - Orientamenti in materia di aiuti di Stato a finalità regionale (2021/C 2594 del 19/04/2021);</w:t>
      </w:r>
    </w:p>
    <w:p>
      <w:pPr>
        <w:pStyle w:val="ListParagraph"/>
        <w:widowControl/>
        <w:numPr>
          <w:ilvl w:val="1"/>
          <w:numId w:val="1"/>
        </w:numPr>
        <w:spacing w:before="0" w:after="120"/>
        <w:ind w:left="714" w:hanging="357"/>
        <w:contextualSpacing w:val="false"/>
        <w:jc w:val="both"/>
        <w:rPr>
          <w:rFonts w:cs="Times New Roman"/>
          <w:color w:val="000009"/>
        </w:rPr>
      </w:pPr>
      <w:r>
        <w:rPr>
          <w:rFonts w:cs="Times New Roman"/>
          <w:color w:val="000009"/>
        </w:rPr>
        <w:t>Raccomandazione della Commissione n. 361 del 6 maggio 2003 relativa alla definizione delle microimprese, piccole e medie imprese;</w:t>
      </w:r>
    </w:p>
    <w:p>
      <w:pPr>
        <w:pStyle w:val="ListParagraph"/>
        <w:widowControl/>
        <w:numPr>
          <w:ilvl w:val="1"/>
          <w:numId w:val="1"/>
        </w:numPr>
        <w:spacing w:before="0" w:after="120"/>
        <w:ind w:left="714" w:hanging="357"/>
        <w:contextualSpacing w:val="false"/>
        <w:jc w:val="both"/>
        <w:rPr>
          <w:rFonts w:cs="Times New Roman"/>
          <w:color w:val="000009"/>
        </w:rPr>
      </w:pPr>
      <w:r>
        <w:rPr>
          <w:rFonts w:cs="Times New Roman"/>
          <w:color w:val="000009"/>
        </w:rPr>
        <w:t>Decreto del Presidente della Repubblica del 10/3/2025 n. 66 recante i criteri sull’ammissibilità delle spese per i programmi cofinanziati dai Fondi Strutturali di Investimento Europei (SIE) per il periodo di programmazione 2021/2027;</w:t>
      </w:r>
    </w:p>
    <w:p>
      <w:pPr>
        <w:pStyle w:val="ListParagraph"/>
        <w:widowControl/>
        <w:numPr>
          <w:ilvl w:val="1"/>
          <w:numId w:val="1"/>
        </w:numPr>
        <w:spacing w:before="0" w:after="120"/>
        <w:ind w:left="714" w:hanging="357"/>
        <w:contextualSpacing w:val="false"/>
        <w:jc w:val="both"/>
        <w:rPr>
          <w:rFonts w:cs="Times New Roman"/>
          <w:color w:val="000009"/>
        </w:rPr>
      </w:pPr>
      <w:r>
        <w:rPr>
          <w:rFonts w:cs="Times New Roman"/>
          <w:color w:val="000009"/>
        </w:rPr>
        <w:t>Decreto-legge 24 gennaio 2012 n. 1 convertito dalla Legge 24 marzo 2012 n. 27 “Disposizioni urgenti per la concorrenza, lo sviluppo delle infrastrutture e la competitività”;</w:t>
      </w:r>
    </w:p>
    <w:p>
      <w:pPr>
        <w:pStyle w:val="ListParagraph"/>
        <w:widowControl/>
        <w:numPr>
          <w:ilvl w:val="1"/>
          <w:numId w:val="1"/>
        </w:numPr>
        <w:spacing w:before="0" w:after="120"/>
        <w:ind w:left="714" w:hanging="357"/>
        <w:contextualSpacing w:val="false"/>
        <w:jc w:val="both"/>
        <w:rPr>
          <w:rFonts w:cs="Times New Roman"/>
          <w:color w:val="000009"/>
        </w:rPr>
      </w:pPr>
      <w:r>
        <w:rPr>
          <w:rFonts w:cs="Times New Roman"/>
          <w:color w:val="000009"/>
        </w:rPr>
        <w:t>Legge 7 agosto 1990 n. 241, recante nuove norme in materia di procedimento amministrativo e diritto di accesso;</w:t>
      </w:r>
    </w:p>
    <w:p>
      <w:pPr>
        <w:pStyle w:val="ListParagraph"/>
        <w:widowControl/>
        <w:numPr>
          <w:ilvl w:val="1"/>
          <w:numId w:val="1"/>
        </w:numPr>
        <w:spacing w:before="0" w:after="120"/>
        <w:ind w:left="714" w:hanging="357"/>
        <w:contextualSpacing w:val="false"/>
        <w:jc w:val="both"/>
        <w:rPr>
          <w:rFonts w:cs="Times New Roman"/>
          <w:color w:val="000009"/>
        </w:rPr>
      </w:pPr>
      <w:r>
        <w:rPr>
          <w:rFonts w:cs="Times New Roman"/>
          <w:color w:val="000009"/>
        </w:rPr>
        <w:t>Decreto Ministro Attività Produttive 18 aprile 2005, recante Adeguamento alla disciplina comunitaria dei criteri di individuazione delle PMI;</w:t>
      </w:r>
    </w:p>
    <w:p>
      <w:pPr>
        <w:pStyle w:val="ListParagraph"/>
        <w:widowControl/>
        <w:numPr>
          <w:ilvl w:val="1"/>
          <w:numId w:val="1"/>
        </w:numPr>
        <w:spacing w:before="0" w:after="120"/>
        <w:ind w:left="714" w:hanging="357"/>
        <w:contextualSpacing w:val="false"/>
        <w:jc w:val="both"/>
        <w:rPr>
          <w:rFonts w:cs="Times New Roman"/>
          <w:color w:val="000009"/>
        </w:rPr>
      </w:pPr>
      <w:r>
        <w:rPr>
          <w:rFonts w:cs="Times New Roman"/>
          <w:color w:val="000009"/>
        </w:rPr>
        <w:t>Legge 22 maggio 2017 n. 81, “Misure per la tutela del lavoro autonomo non imprenditoriale e misure volte a favorire l'articolazione flessibile nei tempi e nei luoghi del lavoro subordinato”;</w:t>
      </w:r>
    </w:p>
    <w:p>
      <w:pPr>
        <w:pStyle w:val="ListParagraph"/>
        <w:widowControl/>
        <w:numPr>
          <w:ilvl w:val="1"/>
          <w:numId w:val="1"/>
        </w:numPr>
        <w:spacing w:before="0" w:after="120"/>
        <w:ind w:left="714" w:hanging="357"/>
        <w:contextualSpacing w:val="false"/>
        <w:jc w:val="both"/>
        <w:rPr>
          <w:rFonts w:cs="Times New Roman"/>
          <w:color w:val="000009"/>
        </w:rPr>
      </w:pPr>
      <w:r>
        <w:rPr>
          <w:rFonts w:cs="Times New Roman"/>
          <w:color w:val="000009"/>
        </w:rPr>
        <w:t>DPR n. 445 del 28 dicembre 2000, “Disposizioni legislative in materia di documentazione amministrativa”;</w:t>
      </w:r>
    </w:p>
    <w:p>
      <w:pPr>
        <w:pStyle w:val="ListParagraph"/>
        <w:widowControl/>
        <w:numPr>
          <w:ilvl w:val="1"/>
          <w:numId w:val="1"/>
        </w:numPr>
        <w:spacing w:before="0" w:after="120"/>
        <w:ind w:left="714" w:hanging="357"/>
        <w:contextualSpacing w:val="false"/>
        <w:jc w:val="both"/>
        <w:rPr>
          <w:rFonts w:cs="Times New Roman"/>
          <w:color w:val="000009"/>
        </w:rPr>
      </w:pPr>
      <w:r>
        <w:rPr>
          <w:rFonts w:cs="Times New Roman"/>
          <w:color w:val="000009"/>
        </w:rPr>
        <w:t>Decreto Legislativo 30 giugno 2003 n. 196, "Codice in materia di protezione dei dati personali", così come integrato dal D. Lgs. 10/8/2018 n° 101, recante disposizioni per l’adeguamento della normativa nazionale alle disposizioni del Reg. UE 2016/679;</w:t>
      </w:r>
    </w:p>
    <w:p>
      <w:pPr>
        <w:pStyle w:val="ListParagraph"/>
        <w:widowControl/>
        <w:numPr>
          <w:ilvl w:val="1"/>
          <w:numId w:val="1"/>
        </w:numPr>
        <w:spacing w:before="0" w:after="120"/>
        <w:ind w:left="714" w:hanging="357"/>
        <w:contextualSpacing w:val="false"/>
        <w:jc w:val="both"/>
        <w:rPr>
          <w:rFonts w:cs="Times New Roman"/>
          <w:color w:val="000009"/>
        </w:rPr>
      </w:pPr>
      <w:r>
        <w:rPr>
          <w:rFonts w:cs="Times New Roman"/>
          <w:color w:val="000009"/>
        </w:rPr>
        <w:t>Decreto legislativo 31 marzo 1998, n. 123 “Disposizioni per la razionalizzazione degli interventi di sostegno pubblico alle imprese, a norma dell'articolo 4, comma 4, lettera c), della legge 15 marzo 1997, n. 59";</w:t>
      </w:r>
    </w:p>
    <w:p>
      <w:pPr>
        <w:pStyle w:val="ListParagraph"/>
        <w:widowControl/>
        <w:numPr>
          <w:ilvl w:val="1"/>
          <w:numId w:val="1"/>
        </w:numPr>
        <w:spacing w:before="0" w:after="120"/>
        <w:ind w:left="714" w:hanging="357"/>
        <w:contextualSpacing w:val="false"/>
        <w:jc w:val="both"/>
        <w:rPr>
          <w:rFonts w:cs="Times New Roman"/>
          <w:color w:val="000009"/>
        </w:rPr>
      </w:pPr>
      <w:r>
        <w:rPr>
          <w:rFonts w:cs="Times New Roman"/>
          <w:color w:val="000009"/>
        </w:rPr>
        <w:t>Decreto legislativo 6 settembre 2011 n. 159, recante “Codice delle leggi antimafia e delle misure di prevenzione, nonché nuove disposizioni in materia di documentazione antimafia, a norma degli articoli 1 e 2 della legge 13 agosto 2010, n. 136”;</w:t>
      </w:r>
    </w:p>
    <w:p>
      <w:pPr>
        <w:pStyle w:val="ListParagraph"/>
        <w:widowControl/>
        <w:numPr>
          <w:ilvl w:val="1"/>
          <w:numId w:val="1"/>
        </w:numPr>
        <w:spacing w:before="0" w:after="120"/>
        <w:ind w:left="714" w:hanging="357"/>
        <w:contextualSpacing w:val="false"/>
        <w:jc w:val="both"/>
        <w:rPr>
          <w:rFonts w:cs="Times New Roman"/>
          <w:color w:val="000009"/>
        </w:rPr>
      </w:pPr>
      <w:r>
        <w:rPr>
          <w:rFonts w:cs="Times New Roman"/>
          <w:color w:val="000009"/>
        </w:rPr>
        <w:t>Decreto legislativo 31 marzo 1998 n. 114, “Riforma della disciplina relativa al settore del commercio, a norma dell'art. 4, comma 4, della legge 15 marzo 1997, n. 59”;</w:t>
      </w:r>
    </w:p>
    <w:p>
      <w:pPr>
        <w:pStyle w:val="ListParagraph"/>
        <w:widowControl/>
        <w:numPr>
          <w:ilvl w:val="1"/>
          <w:numId w:val="1"/>
        </w:numPr>
        <w:spacing w:before="0" w:after="120"/>
        <w:ind w:left="714" w:hanging="357"/>
        <w:contextualSpacing w:val="false"/>
        <w:jc w:val="both"/>
        <w:rPr>
          <w:rFonts w:cs="Times New Roman"/>
          <w:color w:val="000009"/>
        </w:rPr>
      </w:pPr>
      <w:r>
        <w:rPr>
          <w:rFonts w:cs="Times New Roman"/>
          <w:color w:val="000009"/>
        </w:rPr>
        <w:t xml:space="preserve">Regolamento (UE, Euratom) 2020/2093 del Consiglio dell’Unione Europea del 17 dicembre 2020, che stabilisce il Quadro Finanziario Pluriennale per il periodo 2021-2027; </w:t>
      </w:r>
    </w:p>
    <w:p>
      <w:pPr>
        <w:pStyle w:val="ListParagraph"/>
        <w:widowControl/>
        <w:numPr>
          <w:ilvl w:val="1"/>
          <w:numId w:val="1"/>
        </w:numPr>
        <w:spacing w:before="0" w:after="120"/>
        <w:ind w:left="714" w:hanging="357"/>
        <w:contextualSpacing w:val="false"/>
        <w:jc w:val="both"/>
        <w:rPr>
          <w:rFonts w:cs="Times New Roman"/>
          <w:color w:val="000009"/>
        </w:rPr>
      </w:pPr>
      <w:r>
        <w:rPr>
          <w:rFonts w:cs="Times New Roman"/>
          <w:color w:val="000009"/>
        </w:rPr>
        <w:t>Regolamento (UE) n. 2021/1056 del Parlamento europeo e del Consiglio del 24 giugno 2021, che istituisce il Fondo per una transizione giusta;</w:t>
      </w:r>
    </w:p>
    <w:p>
      <w:pPr>
        <w:pStyle w:val="ListParagraph"/>
        <w:widowControl/>
        <w:numPr>
          <w:ilvl w:val="1"/>
          <w:numId w:val="1"/>
        </w:numPr>
        <w:spacing w:before="0" w:after="120"/>
        <w:ind w:left="714" w:hanging="357"/>
        <w:contextualSpacing w:val="false"/>
        <w:jc w:val="both"/>
        <w:rPr>
          <w:rFonts w:cs="Times New Roman"/>
          <w:color w:val="000009"/>
        </w:rPr>
      </w:pPr>
      <w:r>
        <w:rPr>
          <w:rFonts w:cs="Times New Roman"/>
          <w:color w:val="000009"/>
        </w:rPr>
        <w:t>Regolamento (UE) n. 2021/1057 del Parlamento europeo e del Consiglio del 24 giugno 2021, che istituisce il Fondo sociale europeo Plus (FSE+) e che abroga il regolamento (UE) n. 1296/2013;</w:t>
      </w:r>
    </w:p>
    <w:p>
      <w:pPr>
        <w:pStyle w:val="ListParagraph"/>
        <w:widowControl/>
        <w:numPr>
          <w:ilvl w:val="1"/>
          <w:numId w:val="1"/>
        </w:numPr>
        <w:spacing w:before="0" w:after="120"/>
        <w:ind w:left="714" w:hanging="357"/>
        <w:contextualSpacing w:val="false"/>
        <w:jc w:val="both"/>
        <w:rPr>
          <w:rFonts w:cs="Times New Roman"/>
          <w:color w:val="000009"/>
        </w:rPr>
      </w:pPr>
      <w:r>
        <w:rPr>
          <w:rFonts w:cs="Times New Roman"/>
          <w:color w:val="000009"/>
        </w:rPr>
        <w:t>Regolamento (UE) n. 2021/1058 del Parlamento europeo e del Consiglio del 24 giugno 2021, relativo al Fondo europeo di sviluppo regionale e al Fondo di coesione;</w:t>
      </w:r>
    </w:p>
    <w:p>
      <w:pPr>
        <w:pStyle w:val="ListParagraph"/>
        <w:widowControl/>
        <w:numPr>
          <w:ilvl w:val="1"/>
          <w:numId w:val="1"/>
        </w:numPr>
        <w:spacing w:before="0" w:after="120"/>
        <w:ind w:left="714" w:hanging="357"/>
        <w:contextualSpacing w:val="false"/>
        <w:jc w:val="both"/>
        <w:rPr>
          <w:rFonts w:cs="Times New Roman"/>
          <w:color w:val="000009"/>
        </w:rPr>
      </w:pPr>
      <w:r>
        <w:rPr>
          <w:rFonts w:cs="Times New Roman"/>
          <w:color w:val="000009"/>
        </w:rPr>
        <w:t>Regolamento (UE) n. 2021/1059 del Parlamento europeo e del Consiglio del 24 giugno 2021, recante disposizioni specifiche per l’obiettivo Cooperazione territoriale europea (Interreg) sostenuto dal Fondo europeo di sviluppo regionale e dagli strumenti di finanziamento esterno;</w:t>
      </w:r>
    </w:p>
    <w:p>
      <w:pPr>
        <w:pStyle w:val="ListParagraph"/>
        <w:widowControl/>
        <w:numPr>
          <w:ilvl w:val="1"/>
          <w:numId w:val="1"/>
        </w:numPr>
        <w:spacing w:before="0" w:after="120"/>
        <w:ind w:left="714" w:hanging="357"/>
        <w:contextualSpacing w:val="false"/>
        <w:jc w:val="both"/>
        <w:rPr>
          <w:rFonts w:cs="Times New Roman"/>
          <w:color w:val="000009"/>
        </w:rPr>
      </w:pPr>
      <w:r>
        <w:rPr>
          <w:rFonts w:cs="Times New Roman"/>
          <w:color w:val="000009"/>
        </w:rPr>
        <w:t>Regolamento (UE) n. 2021/1060 del Parlamento europeo e del Consiglio del 24 giugno 2021, recante le disposizioni comuni applicabili al Fondo europeo di sviluppo regionale, al Fondo sociale europeo Plus, al Fondo di coesione, al Fondo per una transizione giusta, al Fondo europeo per gli affari marittimi, la pesca e l’acquacoltura, e le regole finanziarie applicabili a tali fondi e al Fondo Asilo, migrazione e integrazione, al Fondo Sicurezza interna e allo Strumento di sostegno finanziario per la gestione delle frontiere e la politica dei visti;</w:t>
      </w:r>
    </w:p>
    <w:p>
      <w:pPr>
        <w:pStyle w:val="ListParagraph"/>
        <w:widowControl/>
        <w:numPr>
          <w:ilvl w:val="1"/>
          <w:numId w:val="1"/>
        </w:numPr>
        <w:spacing w:before="0" w:after="120"/>
        <w:ind w:left="714" w:hanging="357"/>
        <w:contextualSpacing w:val="false"/>
        <w:jc w:val="both"/>
        <w:rPr>
          <w:rFonts w:cs="Times New Roman"/>
          <w:color w:val="000009"/>
        </w:rPr>
      </w:pPr>
      <w:r>
        <w:rPr>
          <w:rFonts w:cs="Times New Roman"/>
          <w:color w:val="000009"/>
        </w:rPr>
        <w:t>Delibera n. 78 del dicembre 2021 del Cipess, pubblicata in G.U. n. 94 del 22 aprile 2022, riguardante la programmazione della Politica di coesione 2021-2027, l’approvazione della Proposta di accordo di partenariato 2021-2027 e la definizione dei criteri di cofinanziamento pubblico nazionale dei programmi europei per il Ciclo di programmazione 2021-2027, e in particolare l’allegato II “indicazioni per i sistemi di gestione e controllo (Si.ge.co) dei Programmi comunitari 2021-2027;</w:t>
      </w:r>
    </w:p>
    <w:p>
      <w:pPr>
        <w:pStyle w:val="ListParagraph"/>
        <w:widowControl/>
        <w:numPr>
          <w:ilvl w:val="1"/>
          <w:numId w:val="1"/>
        </w:numPr>
        <w:spacing w:before="0" w:after="120"/>
        <w:ind w:left="714" w:hanging="357"/>
        <w:contextualSpacing w:val="false"/>
        <w:jc w:val="both"/>
        <w:rPr>
          <w:rFonts w:cs="Times New Roman"/>
          <w:color w:val="000009"/>
        </w:rPr>
      </w:pPr>
      <w:r>
        <w:rPr>
          <w:rFonts w:cs="Times New Roman"/>
          <w:color w:val="000009"/>
        </w:rPr>
        <w:t>Accordo di Partenariato Italia 2021-2027, adottato con Decisione di esecuzione della Commissione C(2022) 4787 final del 15 luglio 2022, che include tra i Programmi previsti il Programma Nazionale Metro Plus e Città Medie Sud 2021-2027, a titolarità̀ dell’Agenzia per la Coesione Territoriale;</w:t>
      </w:r>
    </w:p>
    <w:p>
      <w:pPr>
        <w:pStyle w:val="ListParagraph"/>
        <w:widowControl/>
        <w:numPr>
          <w:ilvl w:val="1"/>
          <w:numId w:val="1"/>
        </w:numPr>
        <w:spacing w:before="0" w:after="120"/>
        <w:ind w:left="714" w:hanging="357"/>
        <w:contextualSpacing w:val="false"/>
        <w:jc w:val="both"/>
        <w:rPr>
          <w:rFonts w:cs="Times New Roman"/>
          <w:color w:val="000009"/>
        </w:rPr>
      </w:pPr>
      <w:r>
        <w:rPr>
          <w:rFonts w:cs="Times New Roman"/>
          <w:color w:val="000009"/>
        </w:rPr>
        <w:t xml:space="preserve">Decisione di esecuzione della Commissione Europea del 16 novembre 2022 C(2022) 9773 final, che approva il “Programma Nazionale Metro Plus e Città Medie Sud 2021- 2027” per il sostegno da parte del Fondo europeo di sviluppo regionale e del Fondo sociale europeo Plus, nell’ambito dell’obiettivo “Investimenti a favore dell’occupazione e della crescita” nelle Città metropolitane e nelle Città medie del Sud; </w:t>
      </w:r>
    </w:p>
    <w:p>
      <w:pPr>
        <w:pStyle w:val="ListParagraph"/>
        <w:widowControl/>
        <w:numPr>
          <w:ilvl w:val="1"/>
          <w:numId w:val="1"/>
        </w:numPr>
        <w:spacing w:before="0" w:after="120"/>
        <w:ind w:left="714" w:hanging="357"/>
        <w:contextualSpacing w:val="false"/>
        <w:jc w:val="both"/>
        <w:rPr>
          <w:rFonts w:cs="Times New Roman"/>
          <w:color w:val="000009"/>
        </w:rPr>
      </w:pPr>
      <w:r>
        <w:rPr>
          <w:rFonts w:cs="Calibri"/>
          <w:color w:val="000000"/>
        </w:rPr>
        <w:t>Guida Operativa DNSH - Circolare RGS n. 22 del 14 maggio 2022”;</w:t>
      </w:r>
    </w:p>
    <w:p>
      <w:pPr>
        <w:pStyle w:val="ListParagraph"/>
        <w:widowControl/>
        <w:numPr>
          <w:ilvl w:val="1"/>
          <w:numId w:val="1"/>
        </w:numPr>
        <w:spacing w:before="0" w:after="120"/>
        <w:ind w:left="714" w:hanging="357"/>
        <w:contextualSpacing w:val="false"/>
        <w:jc w:val="both"/>
        <w:rPr>
          <w:rFonts w:cs="Times New Roman"/>
          <w:color w:val="000009"/>
        </w:rPr>
      </w:pPr>
      <w:r>
        <w:rPr>
          <w:rFonts w:cs="Times New Roman"/>
          <w:color w:val="000009"/>
        </w:rPr>
        <w:t xml:space="preserve">Decreto DipCoe n. 34 del 30 maggio 2024, con il quale è stato individuato, quale Autorità di Gestione del Programma Nazionale Metro Plus e Città Medie Sud 2021-2027, il Direttore dell’Ufficio V “Ufficio per le politiche territoriali e la cooperazione territoriale” del Dipartimento per le Politiche di Coesione e per il Sud della Presidenza del Consiglio dei Ministri; </w:t>
      </w:r>
    </w:p>
    <w:p>
      <w:pPr>
        <w:pStyle w:val="ListParagraph"/>
        <w:widowControl/>
        <w:numPr>
          <w:ilvl w:val="1"/>
          <w:numId w:val="1"/>
        </w:numPr>
        <w:spacing w:before="0" w:after="120"/>
        <w:ind w:left="714" w:hanging="357"/>
        <w:contextualSpacing w:val="false"/>
        <w:jc w:val="both"/>
        <w:rPr>
          <w:rFonts w:cs="Times New Roman"/>
          <w:color w:val="000009"/>
        </w:rPr>
      </w:pPr>
      <w:r>
        <w:rPr>
          <w:rFonts w:cs="Times New Roman"/>
          <w:color w:val="000009"/>
        </w:rPr>
        <w:t>Convenzione sottoscritta digitalmente in data 06 luglio 2023 tra l'Autorità di Gestione del Programma (AdG) e il Comune di Reggio Calabria che prevede all'art. 5 par. 2 lett b), tra le funzioni delegate, ai sensi degli artt. 72, 73, 74 e 75 del Regolamento (UE) 2021/1060, l’elaborazione di un Piano Operativo degli interventi da realizzare e l’aggiornamento periodico dello stesso;</w:t>
      </w:r>
    </w:p>
    <w:p>
      <w:pPr>
        <w:pStyle w:val="ListParagraph"/>
        <w:widowControl/>
        <w:numPr>
          <w:ilvl w:val="1"/>
          <w:numId w:val="1"/>
        </w:numPr>
        <w:spacing w:before="0" w:after="120"/>
        <w:ind w:left="714" w:hanging="357"/>
        <w:contextualSpacing w:val="false"/>
        <w:jc w:val="both"/>
        <w:rPr>
          <w:rFonts w:cs="Times New Roman"/>
          <w:color w:val="000009"/>
        </w:rPr>
      </w:pPr>
      <w:r>
        <w:rPr>
          <w:rFonts w:cs="Times New Roman"/>
          <w:color w:val="000009"/>
        </w:rPr>
        <w:t xml:space="preserve">La Delibera n. 25/2023 del Consiglio della Città Metropolitana di Reggio Calabria, con la quale è stato approvato il Piano Strategico Metropolitano 2.0) ai sensi dell'art. 12 dello statuto della Città metropolitana di Reggio Calabria; </w:t>
      </w:r>
    </w:p>
    <w:p>
      <w:pPr>
        <w:pStyle w:val="ListParagraph"/>
        <w:widowControl/>
        <w:numPr>
          <w:ilvl w:val="1"/>
          <w:numId w:val="1"/>
        </w:numPr>
        <w:spacing w:before="0" w:after="120"/>
        <w:ind w:left="714" w:hanging="357"/>
        <w:contextualSpacing w:val="false"/>
        <w:jc w:val="both"/>
        <w:rPr>
          <w:rFonts w:cs="Times New Roman"/>
          <w:color w:val="000009"/>
        </w:rPr>
      </w:pPr>
      <w:r>
        <w:rPr>
          <w:rFonts w:cs="Times New Roman"/>
          <w:color w:val="000009"/>
        </w:rPr>
        <w:t>Decreto del Sindaco del Comune di Reggio Calabria n. 8 del 23 maggio 2023, con cui è stato individuato il dirigente di Risorse Esterne quale Organismo intermedio del Comune di Reggio Calabria, nell’ambito del Programma Nazionale Metro Plus e Città Medie Sud 2021-2027;</w:t>
      </w:r>
    </w:p>
    <w:p>
      <w:pPr>
        <w:pStyle w:val="ListParagraph"/>
        <w:widowControl/>
        <w:numPr>
          <w:ilvl w:val="1"/>
          <w:numId w:val="1"/>
        </w:numPr>
        <w:spacing w:before="0" w:after="120"/>
        <w:ind w:left="714" w:hanging="357"/>
        <w:contextualSpacing w:val="false"/>
        <w:jc w:val="both"/>
        <w:rPr>
          <w:rFonts w:cs="Times New Roman"/>
          <w:color w:val="000009"/>
        </w:rPr>
      </w:pPr>
      <w:r>
        <w:rPr>
          <w:rFonts w:cs="Times New Roman"/>
          <w:color w:val="000009"/>
        </w:rPr>
        <w:t>Delibera di Giunta Comunale n. 147 del 07/08/2024 che approva il Piano Operativo degli Interventi ed il relativo SI.GE.CO. dell’OI Reggio Calabria;</w:t>
      </w:r>
    </w:p>
    <w:p>
      <w:pPr>
        <w:pStyle w:val="ListParagraph"/>
        <w:widowControl/>
        <w:numPr>
          <w:ilvl w:val="1"/>
          <w:numId w:val="1"/>
        </w:numPr>
        <w:spacing w:before="0" w:after="120"/>
        <w:ind w:left="714" w:hanging="357"/>
        <w:contextualSpacing w:val="false"/>
        <w:jc w:val="both"/>
        <w:rPr>
          <w:rFonts w:cs="Times New Roman"/>
          <w:color w:val="000009"/>
        </w:rPr>
      </w:pPr>
      <w:r>
        <w:rPr>
          <w:rFonts w:cs="Times New Roman"/>
          <w:color w:val="000009"/>
        </w:rPr>
        <w:t>Determina Dirigenziale n. 4517 del 08/10/2024, rettificata con D.D. n. 4589 del 10/10/2024, con cui è stata approvata l’ammissione a finanziamento dell’intervento RC 1.1.3.1.A - “Sostegno Start up e PMI”, con l’obiettivo di promuovere azioni di attrazione di investimenti, di sostegno e promozione di startup e PMI di impatto sul tessuto urbano, nonché azioni di promozione di iniziative che incrementino il lavoro di qualità anche al fine di supportare l'auto imprenditorialità e trattenere risorse umane sul territorio;</w:t>
      </w:r>
    </w:p>
    <w:p>
      <w:pPr>
        <w:pStyle w:val="ListParagraph"/>
        <w:widowControl/>
        <w:numPr>
          <w:ilvl w:val="1"/>
          <w:numId w:val="1"/>
        </w:numPr>
        <w:spacing w:before="0" w:after="120"/>
        <w:contextualSpacing w:val="false"/>
        <w:jc w:val="both"/>
        <w:rPr>
          <w:rFonts w:cs="Times New Roman"/>
          <w:color w:val="000009"/>
          <w:highlight w:val="yellow"/>
        </w:rPr>
      </w:pPr>
      <w:r>
        <w:rPr>
          <w:rFonts w:cs="Times New Roman"/>
          <w:color w:val="000009"/>
          <w:highlight w:val="yellow"/>
        </w:rPr>
        <w:t>Determina dirigenziale n. __________ del ________, con cui è stato approvato il presente avviso pubblico denominato ‘’</w:t>
      </w:r>
      <w:r>
        <w:rPr>
          <w:rFonts w:cs="Times New Roman"/>
          <w:color w:val="000009"/>
        </w:rPr>
        <w:t>Reggio Valore – Centro Storico. Riqualificazione e valorizzazione del centro storico di Reggio Calabria. Bando per l’assegnazione di contributi a fondo perduto alle micro e piccole imprese</w:t>
      </w:r>
      <w:r>
        <w:rPr>
          <w:rFonts w:cs="Times New Roman"/>
          <w:color w:val="000009"/>
          <w:highlight w:val="yellow"/>
        </w:rPr>
        <w:t>’’ unitamente agli allegati.</w:t>
      </w:r>
    </w:p>
    <w:p>
      <w:pPr>
        <w:pStyle w:val="ListParagraph"/>
        <w:spacing w:before="0" w:after="0"/>
        <w:ind w:left="0" w:hanging="0"/>
        <w:contextualSpacing w:val="false"/>
        <w:jc w:val="both"/>
        <w:rPr>
          <w:rFonts w:cs="Times New Roman"/>
          <w:color w:val="000009"/>
          <w:highlight w:val="yellow"/>
        </w:rPr>
      </w:pPr>
      <w:r>
        <w:rPr>
          <w:rFonts w:cs="Times New Roman"/>
          <w:color w:val="000009"/>
          <w:highlight w:val="yellow"/>
        </w:rPr>
      </w:r>
    </w:p>
    <w:p>
      <w:pPr>
        <w:pStyle w:val="Titolo1"/>
        <w:widowControl/>
        <w:numPr>
          <w:ilvl w:val="0"/>
          <w:numId w:val="1"/>
        </w:numPr>
        <w:tabs>
          <w:tab w:val="clear" w:pos="720"/>
          <w:tab w:val="left" w:pos="426" w:leader="none"/>
        </w:tabs>
        <w:spacing w:before="0" w:after="120"/>
        <w:ind w:left="0" w:hanging="0"/>
        <w:jc w:val="both"/>
        <w:rPr>
          <w:rFonts w:ascii="Titillium Web" w:hAnsi="Titillium Web" w:cs="Times New Roman"/>
          <w:b/>
          <w:b/>
          <w:bCs/>
          <w:color w:val="auto"/>
          <w:sz w:val="28"/>
          <w:szCs w:val="28"/>
        </w:rPr>
      </w:pPr>
      <w:bookmarkStart w:id="15" w:name="_Hlk203732694"/>
      <w:bookmarkStart w:id="16" w:name="_Toc215218246"/>
      <w:bookmarkStart w:id="17" w:name="_Toc214529851"/>
      <w:bookmarkEnd w:id="15"/>
      <w:r>
        <w:rPr>
          <w:rFonts w:cs="Times New Roman" w:ascii="Titillium Web" w:hAnsi="Titillium Web"/>
          <w:b/>
          <w:bCs/>
          <w:color w:val="auto"/>
          <w:sz w:val="28"/>
          <w:szCs w:val="28"/>
        </w:rPr>
        <w:t>Beneficiari e requisiti di ammissibilità</w:t>
      </w:r>
      <w:bookmarkEnd w:id="16"/>
      <w:bookmarkEnd w:id="17"/>
    </w:p>
    <w:p>
      <w:pPr>
        <w:pStyle w:val="ListParagraph"/>
        <w:widowControl/>
        <w:numPr>
          <w:ilvl w:val="0"/>
          <w:numId w:val="12"/>
        </w:numPr>
        <w:spacing w:before="0" w:after="120"/>
        <w:ind w:left="357" w:hanging="357"/>
        <w:contextualSpacing w:val="false"/>
        <w:jc w:val="both"/>
        <w:rPr>
          <w:rFonts w:cs="Times New Roman"/>
          <w:color w:val="000009"/>
        </w:rPr>
      </w:pPr>
      <w:r>
        <w:rPr>
          <w:rFonts w:cs="Times New Roman"/>
          <w:color w:val="000009"/>
        </w:rPr>
        <w:t xml:space="preserve">Sono ammesse a partecipare alla procedura di cui al presente Avviso, in forma singola, le seguenti categorie di beneficiari purché in possesso dei requisiti di ammissibilità specificati per ciascuna linea di intervento e riferite ad </w:t>
      </w:r>
      <w:bookmarkStart w:id="18" w:name="_Hlk204618388"/>
      <w:r>
        <w:rPr>
          <w:rFonts w:cs="Times New Roman"/>
          <w:color w:val="000009"/>
        </w:rPr>
        <w:t>attività economiche identificabili con i codici Ateco 2025 indicati in Append</w:t>
      </w:r>
      <w:bookmarkEnd w:id="18"/>
      <w:r>
        <w:rPr>
          <w:rFonts w:cs="Times New Roman"/>
          <w:color w:val="000009"/>
        </w:rPr>
        <w:t>ice (Allegato F).</w:t>
      </w:r>
    </w:p>
    <w:p>
      <w:pPr>
        <w:pStyle w:val="Normal"/>
        <w:widowControl/>
        <w:numPr>
          <w:ilvl w:val="0"/>
          <w:numId w:val="12"/>
        </w:numPr>
        <w:spacing w:before="0" w:after="120"/>
        <w:ind w:left="357" w:hanging="357"/>
        <w:jc w:val="both"/>
        <w:rPr>
          <w:rFonts w:cs="Times New Roman"/>
          <w:color w:val="000009"/>
        </w:rPr>
      </w:pPr>
      <w:r>
        <w:rPr>
          <w:rFonts w:cs="Times New Roman"/>
          <w:color w:val="000009"/>
        </w:rPr>
        <w:t xml:space="preserve">Ai fini della determinazione dell’ammissibilità della spesa si applicano le pertinenti norme del Reg. (UE) n. 2021/1060 e, ove compatibili, con le disposizioni di cui al D.P.R. n. 22/2018. Inoltre, le spese e gli interventi di cui al precedente comma 1 devono essere conformi al principio DNSH, di cui all’articolo 17 del Regolamento (UE) 2020/852, di “non arrecare un danno significativo” all’ambiente e alle indicazioni della Circolare del MEF-RGS del 30 dicembre 2021, n. 32, recante “Guida operativa per il rispetto del principio di non arrecare danno significativo all’ambiente (DNSH)”, aggiornata con Circolare del MEF-RGS del 13 ottobre 2022, n. 33. </w:t>
      </w:r>
    </w:p>
    <w:p>
      <w:pPr>
        <w:pStyle w:val="Normal"/>
        <w:widowControl/>
        <w:jc w:val="both"/>
        <w:rPr>
          <w:rFonts w:cs="Times New Roman"/>
          <w:color w:val="000009"/>
        </w:rPr>
      </w:pPr>
      <w:r>
        <w:rPr>
          <w:rFonts w:cs="Times New Roman"/>
          <w:color w:val="000009"/>
        </w:rPr>
      </w:r>
    </w:p>
    <w:p>
      <w:pPr>
        <w:pStyle w:val="Titolo2"/>
        <w:widowControl/>
        <w:numPr>
          <w:ilvl w:val="0"/>
          <w:numId w:val="7"/>
        </w:numPr>
        <w:tabs>
          <w:tab w:val="clear" w:pos="720"/>
          <w:tab w:val="left" w:pos="616" w:leader="none"/>
        </w:tabs>
        <w:spacing w:before="0" w:after="120"/>
        <w:ind w:left="357" w:hanging="357"/>
        <w:jc w:val="both"/>
        <w:rPr>
          <w:rFonts w:ascii="Aptos" w:hAnsi="Aptos" w:cs="Times New Roman"/>
          <w:b/>
          <w:b/>
          <w:bCs/>
          <w:sz w:val="22"/>
          <w:szCs w:val="22"/>
          <w:u w:val="single"/>
        </w:rPr>
      </w:pPr>
      <w:bookmarkStart w:id="19" w:name="_Toc215218247"/>
      <w:bookmarkStart w:id="20" w:name="_Toc214529852"/>
      <w:r>
        <w:rPr>
          <w:rFonts w:cs="Times New Roman" w:ascii="Aptos" w:hAnsi="Aptos"/>
          <w:b/>
          <w:bCs/>
          <w:color w:val="auto"/>
          <w:sz w:val="22"/>
          <w:szCs w:val="22"/>
          <w:u w:val="single"/>
        </w:rPr>
        <w:t>Linea A</w:t>
      </w:r>
      <w:bookmarkEnd w:id="19"/>
      <w:bookmarkEnd w:id="20"/>
      <w:r>
        <w:rPr>
          <w:rFonts w:cs="Times New Roman" w:ascii="Aptos" w:hAnsi="Aptos"/>
          <w:b/>
          <w:bCs/>
          <w:color w:val="auto"/>
          <w:sz w:val="22"/>
          <w:szCs w:val="22"/>
          <w:u w:val="single"/>
        </w:rPr>
        <w:t xml:space="preserve"> </w:t>
      </w:r>
    </w:p>
    <w:p>
      <w:pPr>
        <w:pStyle w:val="Normal"/>
        <w:spacing w:before="0" w:after="120"/>
        <w:jc w:val="both"/>
        <w:rPr>
          <w:rFonts w:cs="Times New Roman"/>
          <w:color w:val="000009"/>
        </w:rPr>
      </w:pPr>
      <w:r>
        <w:rPr>
          <w:rFonts w:cs="Times New Roman"/>
          <w:color w:val="000009"/>
        </w:rPr>
        <w:t>Società o imprese individuali già costituite che posseggano, alla data di presentazione della domanda e per tutta la durata dell’intervento, pena la decadenza dal contributo, i seguenti requisiti di ammissibilità:</w:t>
      </w:r>
    </w:p>
    <w:p>
      <w:pPr>
        <w:pStyle w:val="Normal"/>
        <w:spacing w:before="0" w:after="120"/>
        <w:jc w:val="both"/>
        <w:rPr>
          <w:rFonts w:cs="Times New Roman"/>
          <w:i/>
          <w:i/>
          <w:iCs/>
          <w:color w:val="000009"/>
        </w:rPr>
      </w:pPr>
      <w:r>
        <w:rPr>
          <w:rFonts w:cs="Times New Roman"/>
          <w:i/>
          <w:iCs/>
          <w:color w:val="000009"/>
        </w:rPr>
        <w:t>Requisiti generali:</w:t>
      </w:r>
    </w:p>
    <w:p>
      <w:pPr>
        <w:pStyle w:val="ListParagraph"/>
        <w:widowControl/>
        <w:numPr>
          <w:ilvl w:val="0"/>
          <w:numId w:val="13"/>
        </w:numPr>
        <w:spacing w:before="0" w:after="120"/>
        <w:ind w:left="714" w:hanging="357"/>
        <w:contextualSpacing w:val="false"/>
        <w:jc w:val="both"/>
        <w:rPr>
          <w:rFonts w:cs="Times New Roman"/>
          <w:color w:val="000009"/>
        </w:rPr>
      </w:pPr>
      <w:r>
        <w:rPr>
          <w:rFonts w:cs="Times New Roman"/>
          <w:color w:val="000009"/>
        </w:rPr>
        <w:t>Essere regolarmente iscritta nel Registro delle Imprese della CCIAA territorialmente competente, se previsto dalla legge;</w:t>
      </w:r>
    </w:p>
    <w:p>
      <w:pPr>
        <w:pStyle w:val="ListParagraph"/>
        <w:widowControl/>
        <w:numPr>
          <w:ilvl w:val="0"/>
          <w:numId w:val="13"/>
        </w:numPr>
        <w:spacing w:before="0" w:after="120"/>
        <w:ind w:left="714" w:hanging="357"/>
        <w:contextualSpacing w:val="false"/>
        <w:jc w:val="both"/>
        <w:rPr>
          <w:rFonts w:cs="Times New Roman"/>
          <w:color w:val="000009"/>
        </w:rPr>
      </w:pPr>
      <w:r>
        <w:rPr>
          <w:rFonts w:cs="Times New Roman"/>
          <w:color w:val="000009"/>
        </w:rPr>
        <w:t>Non trovarsi nelle condizioni di difficoltà di cui all’art. 2 punto 18, lett. da a) ad e) del Reg. 651/2014 e ss. Modifiche;</w:t>
      </w:r>
    </w:p>
    <w:p>
      <w:pPr>
        <w:pStyle w:val="ListParagraph"/>
        <w:widowControl/>
        <w:numPr>
          <w:ilvl w:val="0"/>
          <w:numId w:val="13"/>
        </w:numPr>
        <w:spacing w:before="0" w:after="120"/>
        <w:ind w:left="714" w:hanging="357"/>
        <w:contextualSpacing w:val="false"/>
        <w:jc w:val="both"/>
        <w:rPr>
          <w:rFonts w:cs="Times New Roman"/>
          <w:color w:val="000009"/>
        </w:rPr>
      </w:pPr>
      <w:r>
        <w:rPr>
          <w:rFonts w:cs="Times New Roman"/>
          <w:color w:val="000009"/>
        </w:rPr>
        <w:t>Non trovarsi in stato di fallimento/procedura di insolvenza, di liquidazione, di concordato preventivo o altra situazione equivalente, né avere in corso un procedimento per la dichiarazione di una di tali situazioni;</w:t>
      </w:r>
    </w:p>
    <w:p>
      <w:pPr>
        <w:pStyle w:val="ListParagraph"/>
        <w:widowControl/>
        <w:numPr>
          <w:ilvl w:val="0"/>
          <w:numId w:val="13"/>
        </w:numPr>
        <w:spacing w:before="0" w:after="120"/>
        <w:ind w:left="714" w:hanging="357"/>
        <w:contextualSpacing w:val="false"/>
        <w:jc w:val="both"/>
        <w:rPr>
          <w:rFonts w:cs="Times New Roman"/>
          <w:color w:val="000009"/>
        </w:rPr>
      </w:pPr>
      <w:r>
        <w:rPr>
          <w:rFonts w:cs="Times New Roman"/>
          <w:color w:val="000009"/>
        </w:rPr>
        <w:t xml:space="preserve">Non essere stato destinatarie, nei tre anni precedenti alla data di presentazione della domanda di agevolazione, di provvedimenti di revoca di agevolazioni pubbliche ad eccezione di quelli derivanti da rinunce da parte delle imprese e non dover restituire agevolazioni erogate per le quali è stata disposta dall’Organismo competente la restituzione; </w:t>
      </w:r>
    </w:p>
    <w:p>
      <w:pPr>
        <w:pStyle w:val="ListParagraph"/>
        <w:widowControl/>
        <w:numPr>
          <w:ilvl w:val="0"/>
          <w:numId w:val="13"/>
        </w:numPr>
        <w:spacing w:before="0" w:after="120"/>
        <w:ind w:left="714" w:hanging="357"/>
        <w:contextualSpacing w:val="false"/>
        <w:jc w:val="both"/>
        <w:rPr>
          <w:rFonts w:cs="Times New Roman"/>
          <w:color w:val="000009"/>
        </w:rPr>
      </w:pPr>
      <w:r>
        <w:rPr>
          <w:rFonts w:cs="Times New Roman"/>
          <w:color w:val="000009"/>
        </w:rPr>
        <w:t>Non aver commesso violazioni gravi, definitivamente accertate, rispetto agli obblighi relativi al pagamento di imposte, tasse e contributi previdenziali, ai sensi degli artt. 94, 95, 96 e 98 del d.lgs. 36/2023;</w:t>
      </w:r>
    </w:p>
    <w:p>
      <w:pPr>
        <w:pStyle w:val="ListParagraph"/>
        <w:widowControl/>
        <w:numPr>
          <w:ilvl w:val="0"/>
          <w:numId w:val="13"/>
        </w:numPr>
        <w:spacing w:before="0" w:after="120"/>
        <w:ind w:left="714" w:hanging="357"/>
        <w:contextualSpacing w:val="false"/>
        <w:jc w:val="both"/>
        <w:rPr>
          <w:rFonts w:cs="Times New Roman"/>
          <w:color w:val="000009"/>
        </w:rPr>
      </w:pPr>
      <w:r>
        <w:rPr>
          <w:rFonts w:cs="Times New Roman"/>
          <w:color w:val="000009"/>
        </w:rPr>
        <w:t>Assenza di gravi illeciti professionali, tali da rendere dubbia la sua integrità o affidabilità né essere destinataria di condanne che comportino il divieto di ricevere agevolazioni pubbliche;</w:t>
      </w:r>
    </w:p>
    <w:p>
      <w:pPr>
        <w:pStyle w:val="ListParagraph"/>
        <w:widowControl/>
        <w:numPr>
          <w:ilvl w:val="0"/>
          <w:numId w:val="13"/>
        </w:numPr>
        <w:spacing w:before="0" w:after="120"/>
        <w:ind w:left="714" w:hanging="357"/>
        <w:contextualSpacing w:val="false"/>
        <w:jc w:val="both"/>
        <w:rPr>
          <w:rFonts w:cs="Times New Roman"/>
          <w:color w:val="000009"/>
        </w:rPr>
      </w:pPr>
      <w:r>
        <w:rPr>
          <w:rFonts w:cs="Times New Roman"/>
          <w:color w:val="000009"/>
        </w:rPr>
        <w:t>Essere in regola con la normativa antimafia, con le norme di cui al D. Lgs 152/06 (Codice Ambiente) e D. lgs 81/2008 e non avere procedimenti pendenti per responsabilità di cui al D. Lgs 231/01;</w:t>
      </w:r>
    </w:p>
    <w:p>
      <w:pPr>
        <w:pStyle w:val="ListParagraph"/>
        <w:widowControl/>
        <w:numPr>
          <w:ilvl w:val="0"/>
          <w:numId w:val="13"/>
        </w:numPr>
        <w:spacing w:before="0" w:after="120"/>
        <w:ind w:left="714" w:hanging="357"/>
        <w:contextualSpacing w:val="false"/>
        <w:jc w:val="both"/>
        <w:rPr>
          <w:rFonts w:cs="Times New Roman"/>
          <w:color w:val="000009"/>
        </w:rPr>
      </w:pPr>
      <w:r>
        <w:rPr>
          <w:rFonts w:cs="Times New Roman"/>
          <w:color w:val="000009"/>
        </w:rPr>
        <w:t>Essere in regola con tutti gli adempimenti assicurativi e previdenziali derivanti dalle leggi in vigore, nella piena osservanza dei termini e modalità previsti dalle leggi medesime (DURC);</w:t>
      </w:r>
    </w:p>
    <w:p>
      <w:pPr>
        <w:pStyle w:val="ListParagraph"/>
        <w:widowControl/>
        <w:numPr>
          <w:ilvl w:val="0"/>
          <w:numId w:val="13"/>
        </w:numPr>
        <w:spacing w:before="0" w:after="120"/>
        <w:ind w:left="714" w:hanging="357"/>
        <w:contextualSpacing w:val="false"/>
        <w:jc w:val="both"/>
        <w:rPr>
          <w:rFonts w:cs="Times New Roman"/>
          <w:color w:val="000009"/>
        </w:rPr>
      </w:pPr>
      <w:r>
        <w:rPr>
          <w:rFonts w:cs="Times New Roman"/>
          <w:color w:val="000009"/>
        </w:rPr>
        <w:t xml:space="preserve">Essere in regola con il pagamento dei tributi comunali. </w:t>
      </w:r>
    </w:p>
    <w:p>
      <w:pPr>
        <w:pStyle w:val="Normal"/>
        <w:jc w:val="both"/>
        <w:rPr>
          <w:rFonts w:cs="Times New Roman"/>
          <w:color w:val="000009"/>
        </w:rPr>
      </w:pPr>
      <w:r>
        <w:rPr>
          <w:rFonts w:cs="Times New Roman"/>
          <w:color w:val="000009"/>
        </w:rPr>
      </w:r>
    </w:p>
    <w:p>
      <w:pPr>
        <w:pStyle w:val="Normal"/>
        <w:spacing w:before="0" w:after="120"/>
        <w:jc w:val="both"/>
        <w:rPr>
          <w:rFonts w:cs="Times New Roman"/>
          <w:i/>
          <w:i/>
          <w:iCs/>
          <w:color w:val="000009"/>
        </w:rPr>
      </w:pPr>
      <w:r>
        <w:rPr>
          <w:rFonts w:cs="Times New Roman"/>
          <w:i/>
          <w:iCs/>
          <w:color w:val="000009"/>
        </w:rPr>
        <w:t>Requisiti specifici:</w:t>
      </w:r>
    </w:p>
    <w:p>
      <w:pPr>
        <w:pStyle w:val="ListParagraph"/>
        <w:widowControl/>
        <w:numPr>
          <w:ilvl w:val="0"/>
          <w:numId w:val="14"/>
        </w:numPr>
        <w:spacing w:before="0" w:after="120"/>
        <w:ind w:left="714" w:hanging="357"/>
        <w:contextualSpacing w:val="false"/>
        <w:jc w:val="both"/>
        <w:rPr>
          <w:rFonts w:cs="Times New Roman"/>
          <w:color w:val="000009"/>
        </w:rPr>
      </w:pPr>
      <w:r>
        <w:rPr>
          <w:rFonts w:cs="Times New Roman"/>
          <w:color w:val="000009"/>
        </w:rPr>
        <w:t>Rientrare nei parametri dimensionali delle Micro, Piccole e Medie Imprese (MPMI) come definite dalla Raccomandazione della Commissione Europea n. 2003/361/CE del 6 maggio 2003;</w:t>
      </w:r>
    </w:p>
    <w:p>
      <w:pPr>
        <w:pStyle w:val="ListParagraph"/>
        <w:widowControl/>
        <w:numPr>
          <w:ilvl w:val="0"/>
          <w:numId w:val="14"/>
        </w:numPr>
        <w:spacing w:before="0" w:after="120"/>
        <w:ind w:left="714" w:hanging="357"/>
        <w:contextualSpacing w:val="false"/>
        <w:jc w:val="both"/>
        <w:rPr>
          <w:rFonts w:cs="Times New Roman"/>
          <w:color w:val="000009"/>
        </w:rPr>
      </w:pPr>
      <w:r>
        <w:rPr>
          <w:rFonts w:cs="Times New Roman"/>
          <w:color w:val="000009"/>
        </w:rPr>
        <w:t>nell’ipotesi di società di capitali, aver approvato e depositato i bilanci relativi agli ultimi due esercizi sociali, mentre nell’ipotesi di società di persone o ditte individuali, aver presentato le dichiarazioni dei redditi relativi agli ultimi due periodi di imposta;</w:t>
      </w:r>
    </w:p>
    <w:p>
      <w:pPr>
        <w:pStyle w:val="ListParagraph"/>
        <w:widowControl/>
        <w:numPr>
          <w:ilvl w:val="0"/>
          <w:numId w:val="14"/>
        </w:numPr>
        <w:spacing w:before="0" w:after="120"/>
        <w:ind w:left="714" w:hanging="357"/>
        <w:contextualSpacing w:val="false"/>
        <w:jc w:val="both"/>
        <w:rPr>
          <w:rFonts w:cs="Times New Roman"/>
          <w:color w:val="000009"/>
        </w:rPr>
      </w:pPr>
      <w:r>
        <w:rPr>
          <w:rFonts w:cs="Times New Roman"/>
          <w:color w:val="000009"/>
        </w:rPr>
        <w:t>essere economicamente e finanziariamente sane, ovverosia in possesso di una struttura patrimoniale e di una redditività, presente e prospettiva, sufficienti a far fronte al servizio complessivo del debito e non aver chiuso gli ultimi due esercizi in perdita;</w:t>
      </w:r>
    </w:p>
    <w:p>
      <w:pPr>
        <w:pStyle w:val="ListParagraph"/>
        <w:widowControl/>
        <w:numPr>
          <w:ilvl w:val="0"/>
          <w:numId w:val="14"/>
        </w:numPr>
        <w:spacing w:before="0" w:after="120"/>
        <w:ind w:left="714" w:hanging="357"/>
        <w:contextualSpacing w:val="false"/>
        <w:jc w:val="both"/>
        <w:rPr>
          <w:rFonts w:cs="Times New Roman"/>
          <w:color w:val="000009"/>
        </w:rPr>
      </w:pPr>
      <w:r>
        <w:rPr>
          <w:rFonts w:cs="Times New Roman"/>
          <w:color w:val="000009"/>
        </w:rPr>
        <w:t xml:space="preserve">avere la piena disponibilità dell’immobile nel quale viene realizzato il progetto; </w:t>
      </w:r>
    </w:p>
    <w:p>
      <w:pPr>
        <w:pStyle w:val="ListParagraph"/>
        <w:widowControl/>
        <w:numPr>
          <w:ilvl w:val="0"/>
          <w:numId w:val="14"/>
        </w:numPr>
        <w:spacing w:before="0" w:after="120"/>
        <w:ind w:left="714" w:hanging="357"/>
        <w:contextualSpacing w:val="false"/>
        <w:jc w:val="both"/>
        <w:rPr>
          <w:rFonts w:cs="Times New Roman"/>
          <w:color w:val="000009"/>
        </w:rPr>
      </w:pPr>
      <w:r>
        <w:rPr>
          <w:rFonts w:cs="Times New Roman"/>
          <w:color w:val="000009"/>
        </w:rPr>
        <w:t>realizzare il Programma di Investimento nel rispetto della normativa edilizia e urbanistica;</w:t>
      </w:r>
    </w:p>
    <w:p>
      <w:pPr>
        <w:pStyle w:val="ListParagraph"/>
        <w:widowControl/>
        <w:numPr>
          <w:ilvl w:val="0"/>
          <w:numId w:val="14"/>
        </w:numPr>
        <w:spacing w:before="0" w:after="120"/>
        <w:ind w:left="714" w:hanging="357"/>
        <w:contextualSpacing w:val="false"/>
        <w:jc w:val="both"/>
        <w:rPr>
          <w:rFonts w:cs="Times New Roman"/>
          <w:color w:val="000009"/>
        </w:rPr>
      </w:pPr>
      <w:r>
        <w:rPr>
          <w:rFonts w:cs="Times New Roman"/>
          <w:color w:val="000009"/>
        </w:rPr>
        <w:t>non operare in uno dei settori esclusi di cui al par. 2.1 del presente Avviso;</w:t>
      </w:r>
    </w:p>
    <w:p>
      <w:pPr>
        <w:pStyle w:val="ListParagraph"/>
        <w:widowControl/>
        <w:numPr>
          <w:ilvl w:val="0"/>
          <w:numId w:val="14"/>
        </w:numPr>
        <w:spacing w:before="0" w:after="120"/>
        <w:ind w:left="714" w:hanging="357"/>
        <w:contextualSpacing w:val="false"/>
        <w:jc w:val="both"/>
        <w:rPr>
          <w:rFonts w:cs="Times New Roman"/>
          <w:color w:val="000009"/>
        </w:rPr>
      </w:pPr>
      <w:r>
        <w:rPr>
          <w:rFonts w:cs="Times New Roman"/>
          <w:color w:val="000009"/>
        </w:rPr>
        <w:t xml:space="preserve">avere sede operativa o unità produttiva locale o impegnarsi ad aprire una nuova unità produttiva destinataria dell’intervento nell’ambito dell’Area Urbana delimitata ‘’centro storico di Reggio Calabria’’, segnatamente, nelle aree indicate nell’Allegato E “Aree Ammissibili”; </w:t>
      </w:r>
    </w:p>
    <w:p>
      <w:pPr>
        <w:pStyle w:val="ListParagraph"/>
        <w:widowControl/>
        <w:numPr>
          <w:ilvl w:val="0"/>
          <w:numId w:val="14"/>
        </w:numPr>
        <w:spacing w:before="0" w:after="120"/>
        <w:ind w:left="714" w:hanging="357"/>
        <w:contextualSpacing w:val="false"/>
        <w:jc w:val="both"/>
        <w:rPr>
          <w:rFonts w:cs="Times New Roman"/>
          <w:color w:val="000009"/>
        </w:rPr>
      </w:pPr>
      <w:r>
        <w:rPr>
          <w:rFonts w:cs="Times New Roman"/>
          <w:color w:val="000009"/>
        </w:rPr>
        <w:t>Impegnarsi in caso di finanziamento a svolgere attività economica nell’area di riferimento di cui Allegato E “Aree Ammissibili” per almeno 3 (tre) anni dopo la consegna della rendicontazione finale dell’investimento;</w:t>
      </w:r>
    </w:p>
    <w:p>
      <w:pPr>
        <w:pStyle w:val="ListParagraph"/>
        <w:widowControl/>
        <w:numPr>
          <w:ilvl w:val="0"/>
          <w:numId w:val="14"/>
        </w:numPr>
        <w:spacing w:before="0" w:after="120"/>
        <w:ind w:left="714" w:hanging="357"/>
        <w:contextualSpacing w:val="false"/>
        <w:jc w:val="both"/>
        <w:rPr>
          <w:rFonts w:cs="Times New Roman"/>
          <w:color w:val="000009"/>
        </w:rPr>
      </w:pPr>
      <w:r>
        <w:rPr>
          <w:rFonts w:cs="Times New Roman"/>
          <w:color w:val="000009"/>
        </w:rPr>
        <w:t>Presentare una sola domanda a valere sul presente avviso.</w:t>
      </w:r>
    </w:p>
    <w:p>
      <w:pPr>
        <w:pStyle w:val="ListParagraph"/>
        <w:spacing w:before="0" w:after="0"/>
        <w:ind w:left="0" w:hanging="0"/>
        <w:contextualSpacing w:val="false"/>
        <w:jc w:val="both"/>
        <w:rPr>
          <w:rFonts w:cs="Times New Roman"/>
          <w:color w:val="000009"/>
        </w:rPr>
      </w:pPr>
      <w:r>
        <w:rPr>
          <w:rFonts w:cs="Times New Roman"/>
          <w:color w:val="000009"/>
        </w:rPr>
      </w:r>
    </w:p>
    <w:p>
      <w:pPr>
        <w:pStyle w:val="Titolo2"/>
        <w:widowControl/>
        <w:numPr>
          <w:ilvl w:val="0"/>
          <w:numId w:val="7"/>
        </w:numPr>
        <w:tabs>
          <w:tab w:val="clear" w:pos="720"/>
          <w:tab w:val="left" w:pos="616" w:leader="none"/>
        </w:tabs>
        <w:spacing w:before="0" w:after="120"/>
        <w:ind w:left="357" w:hanging="357"/>
        <w:jc w:val="both"/>
        <w:rPr>
          <w:rFonts w:ascii="Aptos" w:hAnsi="Aptos" w:cs="Times New Roman"/>
          <w:b/>
          <w:b/>
          <w:bCs/>
          <w:color w:val="auto"/>
          <w:sz w:val="22"/>
          <w:szCs w:val="22"/>
          <w:u w:val="single"/>
        </w:rPr>
      </w:pPr>
      <w:bookmarkStart w:id="21" w:name="_Toc215218248"/>
      <w:bookmarkStart w:id="22" w:name="_Toc214529853"/>
      <w:r>
        <w:rPr>
          <w:rFonts w:cs="Times New Roman" w:ascii="Aptos" w:hAnsi="Aptos"/>
          <w:b/>
          <w:bCs/>
          <w:color w:val="auto"/>
          <w:sz w:val="22"/>
          <w:szCs w:val="22"/>
          <w:u w:val="single"/>
        </w:rPr>
        <w:t>Linea B</w:t>
      </w:r>
      <w:bookmarkEnd w:id="21"/>
      <w:bookmarkEnd w:id="22"/>
    </w:p>
    <w:p>
      <w:pPr>
        <w:pStyle w:val="Normal"/>
        <w:spacing w:before="0" w:after="120"/>
        <w:jc w:val="both"/>
        <w:rPr>
          <w:rFonts w:cs="Times New Roman"/>
          <w:color w:val="000009"/>
        </w:rPr>
      </w:pPr>
      <w:r>
        <w:rPr>
          <w:rFonts w:cs="Times New Roman"/>
          <w:color w:val="000009"/>
        </w:rPr>
        <w:t>Persone fisiche che intendono avviare una attività di lavoro autonomo sotto forma di ditta individuale o che si impegnano a costituirsi sotto forma di società di persone e/o di capitali. I soggetti proponenti dovranno dimostrare che alla data di presentazione della domanda e per tutta la durata dell’intervento, pena la decadenza dal contributo, persistano i seguenti requisiti di ammissibilità riferiti al titolare nel caso di ditta individuale, al rappresentante legale e a tutti i soci in caso di società, ai sensi della vigente normativa.</w:t>
      </w:r>
    </w:p>
    <w:p>
      <w:pPr>
        <w:pStyle w:val="Normal"/>
        <w:spacing w:before="0" w:after="120"/>
        <w:jc w:val="both"/>
        <w:rPr>
          <w:rFonts w:cs="Times New Roman"/>
          <w:i/>
          <w:i/>
          <w:iCs/>
          <w:color w:val="000009"/>
        </w:rPr>
      </w:pPr>
      <w:r>
        <w:rPr>
          <w:rFonts w:cs="Times New Roman"/>
          <w:i/>
          <w:iCs/>
          <w:color w:val="000009"/>
        </w:rPr>
        <w:t>Requisiti generali:</w:t>
      </w:r>
    </w:p>
    <w:p>
      <w:pPr>
        <w:pStyle w:val="ListParagraph"/>
        <w:widowControl/>
        <w:numPr>
          <w:ilvl w:val="0"/>
          <w:numId w:val="15"/>
        </w:numPr>
        <w:spacing w:before="0" w:after="120"/>
        <w:ind w:left="714" w:hanging="357"/>
        <w:contextualSpacing w:val="false"/>
        <w:jc w:val="both"/>
        <w:rPr>
          <w:rFonts w:cs="Times New Roman"/>
          <w:color w:val="000009"/>
        </w:rPr>
      </w:pPr>
      <w:r>
        <w:rPr>
          <w:rFonts w:cs="Times New Roman"/>
          <w:color w:val="000009"/>
        </w:rPr>
        <w:t>Persone fisiche maggiorenni, residenti nel comune di Reggio Calabria al momento della presentazione della domanda o che si impegnano a trasferire la residenza nel comune di Reggio Calabria entro la data di sottoscrizione di adesione ed obbligo in caso di ammissione al finanziamento;</w:t>
      </w:r>
    </w:p>
    <w:p>
      <w:pPr>
        <w:pStyle w:val="ListParagraph"/>
        <w:widowControl/>
        <w:numPr>
          <w:ilvl w:val="0"/>
          <w:numId w:val="15"/>
        </w:numPr>
        <w:spacing w:before="0" w:after="120"/>
        <w:ind w:left="714" w:hanging="357"/>
        <w:contextualSpacing w:val="false"/>
        <w:jc w:val="both"/>
        <w:rPr>
          <w:rFonts w:cs="Times New Roman"/>
          <w:color w:val="000009"/>
        </w:rPr>
      </w:pPr>
      <w:r>
        <w:rPr>
          <w:rFonts w:cs="Times New Roman"/>
          <w:color w:val="000009"/>
        </w:rPr>
        <w:t>Non essere stato destinatario, nei tre anni precedenti alla data di presentazione della domanda di agevolazione, di provvedimenti di revoca di agevolazioni pubbliche ad eccezione di quelli derivanti da rinunce da parte delle imprese e non dover restituire agevolazioni erogate per le quali è stata disposta dall’Organismo competente la restituzione;</w:t>
      </w:r>
    </w:p>
    <w:p>
      <w:pPr>
        <w:pStyle w:val="ListParagraph"/>
        <w:widowControl/>
        <w:numPr>
          <w:ilvl w:val="0"/>
          <w:numId w:val="15"/>
        </w:numPr>
        <w:spacing w:before="0" w:after="120"/>
        <w:ind w:left="714" w:hanging="357"/>
        <w:contextualSpacing w:val="false"/>
        <w:jc w:val="both"/>
        <w:rPr>
          <w:rFonts w:cs="Times New Roman"/>
          <w:color w:val="000009"/>
        </w:rPr>
      </w:pPr>
      <w:r>
        <w:rPr>
          <w:rFonts w:cs="Times New Roman"/>
          <w:color w:val="000009"/>
        </w:rPr>
        <w:t>Non aver commesso violazioni gravi, definitivamente accertate, rispetto agli obblighi relativi al pagamento di imposte, tasse e contributi previdenziali, ai sensi degli artt. 94, 95, 96 e 98 del D. Lgs. 36/2023;</w:t>
      </w:r>
    </w:p>
    <w:p>
      <w:pPr>
        <w:pStyle w:val="ListParagraph"/>
        <w:widowControl/>
        <w:numPr>
          <w:ilvl w:val="0"/>
          <w:numId w:val="15"/>
        </w:numPr>
        <w:spacing w:before="0" w:after="120"/>
        <w:ind w:left="714" w:hanging="357"/>
        <w:contextualSpacing w:val="false"/>
        <w:jc w:val="both"/>
        <w:rPr>
          <w:rFonts w:cs="Times New Roman"/>
          <w:color w:val="000009"/>
        </w:rPr>
      </w:pPr>
      <w:r>
        <w:rPr>
          <w:rFonts w:cs="Times New Roman"/>
          <w:color w:val="000009"/>
        </w:rPr>
        <w:t>Non essersi reso colpevole di gravi illeciti professionali, tali da rendere dubbia la sua integrità o affidabilità, né essere destinatario di condanne che comportino il divieto di ricevere agevolazioni pubbliche;</w:t>
      </w:r>
    </w:p>
    <w:p>
      <w:pPr>
        <w:pStyle w:val="ListParagraph"/>
        <w:widowControl/>
        <w:numPr>
          <w:ilvl w:val="0"/>
          <w:numId w:val="15"/>
        </w:numPr>
        <w:spacing w:before="0" w:after="120"/>
        <w:ind w:left="714" w:hanging="357"/>
        <w:contextualSpacing w:val="false"/>
        <w:jc w:val="both"/>
        <w:rPr>
          <w:rFonts w:cs="Times New Roman"/>
          <w:color w:val="000009"/>
        </w:rPr>
      </w:pPr>
      <w:r>
        <w:rPr>
          <w:rFonts w:cs="Times New Roman"/>
          <w:color w:val="000009"/>
        </w:rPr>
        <w:t>Essere in regola con la normativa antimafia, con le norme di cui al D. Lgs 152/06 (Codice Ambiente) e D. Lgs 81/2008 e non avere procedimenti pendenti per responsabilità di cui al D. Lgs 231/01.</w:t>
      </w:r>
    </w:p>
    <w:p>
      <w:pPr>
        <w:pStyle w:val="ListParagraph"/>
        <w:widowControl/>
        <w:spacing w:before="0" w:after="0"/>
        <w:ind w:left="0" w:hanging="0"/>
        <w:contextualSpacing w:val="false"/>
        <w:jc w:val="both"/>
        <w:rPr>
          <w:rFonts w:cs="Times New Roman"/>
          <w:color w:val="000009"/>
        </w:rPr>
      </w:pPr>
      <w:r>
        <w:rPr>
          <w:rFonts w:cs="Times New Roman"/>
          <w:color w:val="000009"/>
        </w:rPr>
      </w:r>
    </w:p>
    <w:p>
      <w:pPr>
        <w:pStyle w:val="Normal"/>
        <w:spacing w:before="0" w:after="120"/>
        <w:jc w:val="both"/>
        <w:rPr>
          <w:rFonts w:cs="Times New Roman"/>
          <w:color w:val="000009"/>
        </w:rPr>
      </w:pPr>
      <w:r>
        <w:rPr>
          <w:rFonts w:cs="Times New Roman"/>
          <w:i/>
          <w:iCs/>
          <w:color w:val="000009"/>
        </w:rPr>
        <w:t>Requisiti specifici</w:t>
      </w:r>
      <w:r>
        <w:rPr>
          <w:rFonts w:cs="Times New Roman"/>
          <w:color w:val="000009"/>
        </w:rPr>
        <w:t>:</w:t>
      </w:r>
      <w:bookmarkStart w:id="23" w:name="_Hlk204102701"/>
    </w:p>
    <w:p>
      <w:pPr>
        <w:pStyle w:val="ListParagraph"/>
        <w:widowControl/>
        <w:numPr>
          <w:ilvl w:val="0"/>
          <w:numId w:val="16"/>
        </w:numPr>
        <w:spacing w:before="0" w:after="120"/>
        <w:ind w:left="714" w:hanging="357"/>
        <w:contextualSpacing w:val="false"/>
        <w:jc w:val="both"/>
        <w:rPr>
          <w:rFonts w:cs="Times New Roman"/>
          <w:color w:val="000009"/>
        </w:rPr>
      </w:pPr>
      <w:r>
        <w:rPr>
          <w:color w:val="000009"/>
        </w:rPr>
        <w:t xml:space="preserve">avere sede operativa o unità produttiva locale destinataria dell’intervento nell’ambito dell’Area Urbana del Comune di Reggio Calabria e, segnatamente, nell’area individuata per come riportato </w:t>
      </w:r>
      <w:r>
        <w:rPr>
          <w:rFonts w:cs="Times New Roman"/>
          <w:color w:val="000009"/>
        </w:rPr>
        <w:t>nell’Allegato E “Aree Ammissibili”</w:t>
      </w:r>
      <w:r>
        <w:rPr>
          <w:color w:val="000009"/>
        </w:rPr>
        <w:t xml:space="preserve"> del presente Avviso. Per le imprese prive di sede operativa o unità produttiva oggetto di intervento al momento della domanda, detto requisito deve sussistere al momento dell’atto di adesione e obbligo; </w:t>
      </w:r>
      <w:bookmarkEnd w:id="23"/>
    </w:p>
    <w:p>
      <w:pPr>
        <w:pStyle w:val="ListParagraph"/>
        <w:widowControl/>
        <w:numPr>
          <w:ilvl w:val="0"/>
          <w:numId w:val="16"/>
        </w:numPr>
        <w:spacing w:before="0" w:after="120"/>
        <w:ind w:left="714" w:hanging="357"/>
        <w:contextualSpacing w:val="false"/>
        <w:jc w:val="both"/>
        <w:rPr>
          <w:rFonts w:cs="Times New Roman"/>
          <w:color w:val="000009"/>
        </w:rPr>
      </w:pPr>
      <w:r>
        <w:rPr>
          <w:color w:val="000009"/>
        </w:rPr>
        <w:t xml:space="preserve">Impegnarsi ad essere regolarmente </w:t>
      </w:r>
      <w:r>
        <w:rPr>
          <w:color w:val="000009"/>
          <w:spacing w:val="-2"/>
        </w:rPr>
        <w:t>iscritto:</w:t>
      </w:r>
    </w:p>
    <w:p>
      <w:pPr>
        <w:pStyle w:val="ListParagraph"/>
        <w:widowControl/>
        <w:numPr>
          <w:ilvl w:val="0"/>
          <w:numId w:val="50"/>
        </w:numPr>
        <w:spacing w:before="0" w:after="120"/>
        <w:ind w:left="1094" w:hanging="357"/>
        <w:contextualSpacing w:val="false"/>
        <w:jc w:val="both"/>
        <w:rPr>
          <w:color w:val="000009"/>
          <w:spacing w:val="-2"/>
        </w:rPr>
      </w:pPr>
      <w:r>
        <w:rPr>
          <w:color w:val="000009"/>
        </w:rPr>
        <w:t xml:space="preserve">nel registro delle imprese della CCIAA territorialmente </w:t>
      </w:r>
      <w:r>
        <w:rPr>
          <w:color w:val="000009"/>
          <w:spacing w:val="-2"/>
        </w:rPr>
        <w:t xml:space="preserve">competente; </w:t>
      </w:r>
    </w:p>
    <w:p>
      <w:pPr>
        <w:pStyle w:val="ListParagraph"/>
        <w:widowControl/>
        <w:numPr>
          <w:ilvl w:val="0"/>
          <w:numId w:val="50"/>
        </w:numPr>
        <w:spacing w:before="0" w:after="120"/>
        <w:ind w:left="1094" w:hanging="357"/>
        <w:contextualSpacing w:val="false"/>
        <w:jc w:val="both"/>
        <w:rPr>
          <w:color w:val="000009"/>
          <w:spacing w:val="-2"/>
        </w:rPr>
      </w:pPr>
      <w:r>
        <w:rPr>
          <w:color w:val="000009"/>
        </w:rPr>
        <w:t xml:space="preserve">possedere la capacità economico−finanziaria in relazione al progetto da realizzare che dovrà </w:t>
      </w:r>
      <w:r>
        <w:rPr>
          <w:color w:val="000009"/>
          <w:spacing w:val="-2"/>
        </w:rPr>
        <w:t xml:space="preserve">essere </w:t>
      </w:r>
      <w:r>
        <w:rPr>
          <w:color w:val="000009"/>
        </w:rPr>
        <w:t xml:space="preserve">comprovata mediante la produzione dell’Allegato A1 al Modulo di Domanda di cui al presente </w:t>
      </w:r>
      <w:r>
        <w:rPr>
          <w:color w:val="000009"/>
          <w:spacing w:val="-2"/>
        </w:rPr>
        <w:t>Avviso;</w:t>
      </w:r>
    </w:p>
    <w:p>
      <w:pPr>
        <w:pStyle w:val="ListParagraph"/>
        <w:widowControl/>
        <w:numPr>
          <w:ilvl w:val="0"/>
          <w:numId w:val="50"/>
        </w:numPr>
        <w:spacing w:before="0" w:after="120"/>
        <w:ind w:left="1094" w:hanging="357"/>
        <w:contextualSpacing w:val="false"/>
        <w:jc w:val="both"/>
        <w:rPr>
          <w:color w:val="000009"/>
          <w:spacing w:val="-2"/>
        </w:rPr>
      </w:pPr>
      <w:r>
        <w:rPr>
          <w:color w:val="000009"/>
        </w:rPr>
        <w:t xml:space="preserve">possedere la capacità operativa ed amministrativa in relazione al progetto da realizzare che dovrà </w:t>
      </w:r>
      <w:r>
        <w:rPr>
          <w:color w:val="000009"/>
          <w:spacing w:val="-2"/>
        </w:rPr>
        <w:t xml:space="preserve">essere </w:t>
      </w:r>
      <w:r>
        <w:rPr>
          <w:color w:val="000009"/>
        </w:rPr>
        <w:t xml:space="preserve">comprovata mediante la produzione dell’Allegato A2 al Modulo di Domanda di cui al presente </w:t>
      </w:r>
      <w:r>
        <w:rPr>
          <w:color w:val="000009"/>
          <w:spacing w:val="-2"/>
        </w:rPr>
        <w:t>Avviso</w:t>
      </w:r>
      <w:r>
        <w:rPr>
          <w:color w:val="000009"/>
        </w:rPr>
        <w:t xml:space="preserve">; </w:t>
      </w:r>
    </w:p>
    <w:p>
      <w:pPr>
        <w:pStyle w:val="ListParagraph"/>
        <w:widowControl/>
        <w:numPr>
          <w:ilvl w:val="0"/>
          <w:numId w:val="16"/>
        </w:numPr>
        <w:spacing w:before="0" w:after="120"/>
        <w:ind w:left="714" w:hanging="357"/>
        <w:contextualSpacing w:val="false"/>
        <w:jc w:val="both"/>
        <w:rPr>
          <w:rFonts w:cs="Times New Roman"/>
          <w:color w:val="000009"/>
        </w:rPr>
      </w:pPr>
      <w:r>
        <w:rPr>
          <w:rFonts w:cs="Times New Roman"/>
          <w:color w:val="000009"/>
        </w:rPr>
        <w:t>Impegnarsi in caso di finanziamento a svolgere attività economica nell’area di riferimento di cui Allegato E “Aree Ammissibili” per almeno 3 (tre) anni dopo la consegna della rendicontazione finale dell’investimento;</w:t>
      </w:r>
    </w:p>
    <w:p>
      <w:pPr>
        <w:pStyle w:val="ListParagraph"/>
        <w:widowControl/>
        <w:numPr>
          <w:ilvl w:val="0"/>
          <w:numId w:val="16"/>
        </w:numPr>
        <w:spacing w:before="0" w:after="120"/>
        <w:ind w:left="714" w:hanging="357"/>
        <w:contextualSpacing w:val="false"/>
        <w:jc w:val="both"/>
        <w:rPr>
          <w:rFonts w:cs="Times New Roman"/>
          <w:color w:val="000009"/>
        </w:rPr>
      </w:pPr>
      <w:r>
        <w:rPr>
          <w:rFonts w:cs="Times New Roman"/>
          <w:color w:val="000009"/>
        </w:rPr>
        <w:t>Presentare una sola domanda a valere sul presente avviso.</w:t>
      </w:r>
    </w:p>
    <w:p>
      <w:pPr>
        <w:pStyle w:val="Normal"/>
        <w:jc w:val="both"/>
        <w:rPr>
          <w:rFonts w:cs="Times New Roman"/>
          <w:color w:val="000009"/>
        </w:rPr>
      </w:pPr>
      <w:r>
        <w:rPr>
          <w:rFonts w:cs="Times New Roman"/>
          <w:color w:val="000009"/>
        </w:rPr>
      </w:r>
    </w:p>
    <w:p>
      <w:pPr>
        <w:pStyle w:val="Titolo1"/>
        <w:widowControl/>
        <w:numPr>
          <w:ilvl w:val="0"/>
          <w:numId w:val="1"/>
        </w:numPr>
        <w:tabs>
          <w:tab w:val="clear" w:pos="720"/>
          <w:tab w:val="left" w:pos="426" w:leader="none"/>
        </w:tabs>
        <w:spacing w:before="0" w:after="120"/>
        <w:ind w:left="0" w:hanging="0"/>
        <w:jc w:val="both"/>
        <w:rPr>
          <w:rFonts w:ascii="Titillium Web" w:hAnsi="Titillium Web" w:cs="Times New Roman"/>
          <w:b/>
          <w:b/>
          <w:bCs/>
          <w:color w:val="auto"/>
          <w:sz w:val="28"/>
          <w:szCs w:val="28"/>
        </w:rPr>
      </w:pPr>
      <w:bookmarkStart w:id="24" w:name="_Toc215218249"/>
      <w:bookmarkStart w:id="25" w:name="_Toc214529854"/>
      <w:r>
        <w:rPr>
          <w:rFonts w:cs="Times New Roman" w:ascii="Titillium Web" w:hAnsi="Titillium Web"/>
          <w:b/>
          <w:bCs/>
          <w:color w:val="auto"/>
          <w:sz w:val="28"/>
          <w:szCs w:val="28"/>
        </w:rPr>
        <w:t>Interventi finanziabili e spese ammissibili</w:t>
      </w:r>
      <w:bookmarkEnd w:id="24"/>
      <w:bookmarkEnd w:id="25"/>
    </w:p>
    <w:p>
      <w:pPr>
        <w:pStyle w:val="Normal"/>
        <w:jc w:val="both"/>
        <w:rPr>
          <w:rFonts w:cs="Times New Roman"/>
          <w:color w:val="000009"/>
        </w:rPr>
      </w:pPr>
      <w:r>
        <w:rPr>
          <w:rFonts w:cs="Times New Roman"/>
          <w:color w:val="000009"/>
        </w:rPr>
      </w:r>
    </w:p>
    <w:p>
      <w:pPr>
        <w:pStyle w:val="Titolo2"/>
        <w:tabs>
          <w:tab w:val="clear" w:pos="720"/>
          <w:tab w:val="left" w:pos="426" w:leader="none"/>
        </w:tabs>
        <w:spacing w:before="0" w:after="120"/>
        <w:ind w:left="357" w:hanging="357"/>
        <w:jc w:val="both"/>
        <w:rPr>
          <w:rFonts w:ascii="Titillium Web" w:hAnsi="Titillium Web" w:cs="Times New Roman"/>
          <w:b/>
          <w:b/>
          <w:bCs/>
          <w:spacing w:val="-2"/>
          <w:sz w:val="24"/>
          <w:szCs w:val="24"/>
        </w:rPr>
      </w:pPr>
      <w:bookmarkStart w:id="26" w:name="_Toc215218250"/>
      <w:bookmarkStart w:id="27" w:name="_Toc214529855"/>
      <w:r>
        <w:rPr>
          <w:rFonts w:cs="Times New Roman" w:ascii="Titillium Web" w:hAnsi="Titillium Web"/>
          <w:b/>
          <w:bCs/>
          <w:color w:val="auto"/>
          <w:sz w:val="24"/>
          <w:szCs w:val="24"/>
        </w:rPr>
        <w:t>3.1 Linea A</w:t>
      </w:r>
      <w:bookmarkEnd w:id="26"/>
      <w:bookmarkEnd w:id="27"/>
      <w:r>
        <w:rPr>
          <w:rFonts w:cs="Times New Roman" w:ascii="Titillium Web" w:hAnsi="Titillium Web"/>
          <w:b/>
          <w:bCs/>
          <w:spacing w:val="-2"/>
          <w:sz w:val="24"/>
          <w:szCs w:val="24"/>
        </w:rPr>
        <w:t xml:space="preserve"> </w:t>
      </w:r>
    </w:p>
    <w:p>
      <w:pPr>
        <w:pStyle w:val="ListParagraph"/>
        <w:widowControl/>
        <w:numPr>
          <w:ilvl w:val="0"/>
          <w:numId w:val="17"/>
        </w:numPr>
        <w:spacing w:before="0" w:after="120"/>
        <w:ind w:left="357" w:hanging="357"/>
        <w:contextualSpacing w:val="false"/>
        <w:jc w:val="both"/>
        <w:rPr>
          <w:rFonts w:cs="Times New Roman"/>
          <w:color w:val="000009"/>
        </w:rPr>
      </w:pPr>
      <w:bookmarkStart w:id="28" w:name="_Hlk202869206"/>
      <w:r>
        <w:rPr>
          <w:rFonts w:cs="Times New Roman"/>
          <w:color w:val="000009"/>
        </w:rPr>
        <w:t xml:space="preserve">I soggetti di cui al par. 2.1 </w:t>
      </w:r>
      <w:bookmarkEnd w:id="28"/>
      <w:r>
        <w:rPr>
          <w:rFonts w:cs="Times New Roman"/>
          <w:color w:val="000009"/>
        </w:rPr>
        <w:t>Linea A presentano, insieme alla domanda di cui al par. 4.3, una specifica proposta progettuale in conformità con le finalità del presente avviso e nell’ambito dei settori di intervento riportati per ciascuna operazione nell’ Appendice (Allegato F).</w:t>
      </w:r>
      <w:bookmarkStart w:id="29" w:name="_Hlk204618944"/>
    </w:p>
    <w:p>
      <w:pPr>
        <w:pStyle w:val="ListParagraph"/>
        <w:widowControl/>
        <w:numPr>
          <w:ilvl w:val="0"/>
          <w:numId w:val="17"/>
        </w:numPr>
        <w:spacing w:before="0" w:after="120"/>
        <w:ind w:left="357" w:hanging="357"/>
        <w:contextualSpacing w:val="false"/>
        <w:jc w:val="both"/>
        <w:rPr>
          <w:rFonts w:cs="Times New Roman"/>
          <w:color w:val="000009"/>
        </w:rPr>
      </w:pPr>
      <w:r>
        <w:rPr>
          <w:rFonts w:cs="Times New Roman"/>
          <w:color w:val="000009"/>
        </w:rPr>
        <w:t>Gli interventi dovranno ricadere in uno o più dei seguenti ambiti:</w:t>
      </w:r>
    </w:p>
    <w:p>
      <w:pPr>
        <w:pStyle w:val="ListParagraph"/>
        <w:widowControl/>
        <w:numPr>
          <w:ilvl w:val="0"/>
          <w:numId w:val="7"/>
        </w:numPr>
        <w:spacing w:before="0" w:after="120"/>
        <w:ind w:left="714" w:hanging="357"/>
        <w:contextualSpacing w:val="false"/>
        <w:jc w:val="both"/>
        <w:rPr>
          <w:rFonts w:cs="Times New Roman"/>
          <w:color w:val="000009"/>
        </w:rPr>
      </w:pPr>
      <w:r>
        <w:rPr>
          <w:rFonts w:cs="Times New Roman"/>
          <w:b/>
          <w:bCs/>
          <w:color w:val="000009"/>
        </w:rPr>
        <w:t>riorganizzazione delle superfici di produzione e/o di vendita</w:t>
      </w:r>
      <w:r>
        <w:rPr>
          <w:rFonts w:cs="Times New Roman"/>
          <w:color w:val="000009"/>
        </w:rPr>
        <w:t xml:space="preserve"> attraverso forme di ampliamento e/o ammodernamento;</w:t>
      </w:r>
    </w:p>
    <w:p>
      <w:pPr>
        <w:pStyle w:val="ListParagraph"/>
        <w:widowControl/>
        <w:numPr>
          <w:ilvl w:val="0"/>
          <w:numId w:val="7"/>
        </w:numPr>
        <w:spacing w:before="0" w:after="120"/>
        <w:ind w:left="714" w:hanging="357"/>
        <w:contextualSpacing w:val="false"/>
        <w:jc w:val="both"/>
        <w:rPr>
          <w:rFonts w:cs="Times New Roman"/>
          <w:color w:val="000009"/>
        </w:rPr>
      </w:pPr>
      <w:r>
        <w:rPr>
          <w:rFonts w:cs="Times New Roman"/>
          <w:b/>
          <w:bCs/>
          <w:color w:val="000009"/>
        </w:rPr>
        <w:t>digitalizzazione</w:t>
      </w:r>
      <w:r>
        <w:rPr>
          <w:rFonts w:cs="Times New Roman"/>
          <w:color w:val="000009"/>
        </w:rPr>
        <w:t xml:space="preserve"> (software gestionali: Sistemi ERP, CRM, e altri software per la gestione dei processi aziendali; Cloud computing; Big Data e Analytics, Cybersecurity, Strumenti di collaborazione, Automazione dei processi (RPA)), </w:t>
      </w:r>
      <w:r>
        <w:rPr>
          <w:rFonts w:cs="Times New Roman"/>
          <w:b/>
          <w:bCs/>
          <w:color w:val="000009"/>
        </w:rPr>
        <w:t>commercio elettronico, multimedialità</w:t>
      </w:r>
      <w:r>
        <w:rPr>
          <w:rFonts w:cs="Times New Roman"/>
          <w:color w:val="000009"/>
        </w:rPr>
        <w:t>;</w:t>
      </w:r>
    </w:p>
    <w:p>
      <w:pPr>
        <w:pStyle w:val="ListParagraph"/>
        <w:widowControl/>
        <w:numPr>
          <w:ilvl w:val="0"/>
          <w:numId w:val="7"/>
        </w:numPr>
        <w:spacing w:before="0" w:after="120"/>
        <w:ind w:left="714" w:hanging="357"/>
        <w:contextualSpacing w:val="false"/>
        <w:jc w:val="both"/>
        <w:rPr>
          <w:rFonts w:cs="Times New Roman"/>
          <w:color w:val="000009"/>
        </w:rPr>
      </w:pPr>
      <w:r>
        <w:rPr>
          <w:rFonts w:cs="Times New Roman"/>
          <w:b/>
          <w:bCs/>
          <w:color w:val="000009"/>
        </w:rPr>
        <w:t>sostenibilità tecnologica, ambientale</w:t>
      </w:r>
      <w:r>
        <w:rPr>
          <w:rFonts w:cs="Times New Roman"/>
          <w:color w:val="000009"/>
        </w:rPr>
        <w:t xml:space="preserve"> (tecnologie più efficienti dal punto di vista energetico, gestione circolare delle risorse, mobilità sostenibile, sensori e piattaforme digitali per monitorare l'inquinamento, la qualità dell'aria e dell'acqua, etc.), </w:t>
      </w:r>
      <w:r>
        <w:rPr>
          <w:rFonts w:cs="Times New Roman"/>
          <w:b/>
          <w:bCs/>
          <w:color w:val="000009"/>
        </w:rPr>
        <w:t>gestione di rifiuti, scarti, eccedenze alimentari</w:t>
      </w:r>
      <w:r>
        <w:rPr>
          <w:rFonts w:cs="Times New Roman"/>
          <w:color w:val="000009"/>
        </w:rPr>
        <w:t>;</w:t>
      </w:r>
      <w:bookmarkEnd w:id="29"/>
    </w:p>
    <w:p>
      <w:pPr>
        <w:pStyle w:val="ListParagraph"/>
        <w:widowControl/>
        <w:numPr>
          <w:ilvl w:val="0"/>
          <w:numId w:val="7"/>
        </w:numPr>
        <w:spacing w:lineRule="auto" w:line="259" w:before="0" w:after="160"/>
        <w:ind w:left="714" w:hanging="357"/>
        <w:contextualSpacing w:val="false"/>
        <w:jc w:val="both"/>
        <w:rPr>
          <w:rFonts w:cs="Times New Roman"/>
          <w:color w:val="000009"/>
        </w:rPr>
      </w:pPr>
      <w:r>
        <w:rPr>
          <w:rFonts w:cs="Times New Roman"/>
          <w:b/>
          <w:bCs/>
          <w:color w:val="000009"/>
        </w:rPr>
        <w:t>salute e sicurezza dei lavoratori e dei clienti</w:t>
      </w:r>
      <w:r>
        <w:rPr>
          <w:rFonts w:cs="Times New Roman"/>
          <w:color w:val="000009"/>
        </w:rPr>
        <w:t xml:space="preserve"> (DPI - dispositivi di protezione individuale, installazione di barriere protettive, predisposizione di sistemi di allarme, progettazione sicura degli ambienti di lavoro, eliminazione barriere architettoniche, sistema di Gestione della Sicurezza sul lavoro,etc.).</w:t>
      </w:r>
    </w:p>
    <w:p>
      <w:pPr>
        <w:pStyle w:val="ListParagraph"/>
        <w:widowControl/>
        <w:spacing w:before="0" w:after="0"/>
        <w:ind w:left="0" w:hanging="0"/>
        <w:contextualSpacing w:val="false"/>
        <w:jc w:val="both"/>
        <w:rPr>
          <w:rFonts w:cs="Times New Roman"/>
          <w:color w:val="000009"/>
        </w:rPr>
      </w:pPr>
      <w:r>
        <w:rPr>
          <w:rFonts w:cs="Times New Roman"/>
          <w:color w:val="000009"/>
        </w:rPr>
      </w:r>
    </w:p>
    <w:p>
      <w:pPr>
        <w:pStyle w:val="Corpodeltesto"/>
        <w:spacing w:lineRule="auto" w:line="240" w:before="0" w:after="120"/>
        <w:ind w:left="357" w:hanging="357"/>
        <w:jc w:val="both"/>
        <w:rPr>
          <w:rFonts w:ascii="Titillium Web" w:hAnsi="Titillium Web" w:eastAsia="" w:cs="Times New Roman" w:eastAsiaTheme="majorEastAsia"/>
          <w:b/>
          <w:b/>
          <w:bCs/>
          <w:sz w:val="24"/>
          <w:szCs w:val="24"/>
        </w:rPr>
      </w:pPr>
      <w:bookmarkStart w:id="30" w:name="_Hlk204618772"/>
      <w:bookmarkStart w:id="31" w:name="_Hlk204618872"/>
      <w:bookmarkStart w:id="32" w:name="_Toc213405355"/>
      <w:bookmarkStart w:id="33" w:name="_Toc204619641"/>
      <w:r>
        <w:rPr>
          <w:rFonts w:eastAsia="" w:cs="Times New Roman" w:ascii="Titillium Web" w:hAnsi="Titillium Web" w:eastAsiaTheme="majorEastAsia"/>
          <w:b/>
          <w:bCs/>
          <w:sz w:val="24"/>
          <w:szCs w:val="24"/>
        </w:rPr>
        <w:t xml:space="preserve">3.2. </w:t>
      </w:r>
      <w:bookmarkStart w:id="34" w:name="_Hlk214445778"/>
      <w:r>
        <w:rPr>
          <w:rFonts w:eastAsia="" w:cs="Times New Roman" w:ascii="Titillium Web" w:hAnsi="Titillium Web" w:eastAsiaTheme="majorEastAsia"/>
          <w:b/>
          <w:bCs/>
          <w:sz w:val="24"/>
          <w:szCs w:val="24"/>
        </w:rPr>
        <w:t xml:space="preserve">Linea </w:t>
      </w:r>
      <w:bookmarkEnd w:id="34"/>
      <w:r>
        <w:rPr>
          <w:rFonts w:eastAsia="" w:cs="Times New Roman" w:ascii="Titillium Web" w:hAnsi="Titillium Web" w:eastAsiaTheme="majorEastAsia"/>
          <w:b/>
          <w:bCs/>
          <w:sz w:val="24"/>
          <w:szCs w:val="24"/>
        </w:rPr>
        <w:t xml:space="preserve">B </w:t>
      </w:r>
    </w:p>
    <w:p>
      <w:pPr>
        <w:pStyle w:val="Normal"/>
        <w:spacing w:before="0" w:after="120"/>
        <w:jc w:val="both"/>
        <w:rPr>
          <w:rFonts w:cs="Times New Roman"/>
          <w:color w:val="000009"/>
        </w:rPr>
      </w:pPr>
      <w:r>
        <w:rPr>
          <w:rFonts w:cs="Times New Roman"/>
          <w:color w:val="000009"/>
        </w:rPr>
        <w:t>I soggetti di cui al par. 2.1 Linea B presentano proposte di intervento, rientranti tra i codici Ateco 2025, indicati in Appendice (Allegato F) , per la creazione di una nuova unità produttiva ricadente in uno o più dei seguenti ambiti:</w:t>
      </w:r>
    </w:p>
    <w:p>
      <w:pPr>
        <w:pStyle w:val="ListParagraph"/>
        <w:widowControl/>
        <w:numPr>
          <w:ilvl w:val="0"/>
          <w:numId w:val="7"/>
        </w:numPr>
        <w:spacing w:before="0" w:after="120"/>
        <w:ind w:left="714" w:hanging="357"/>
        <w:contextualSpacing w:val="false"/>
        <w:jc w:val="both"/>
        <w:rPr>
          <w:rFonts w:cs="Times New Roman"/>
          <w:b/>
          <w:b/>
          <w:bCs/>
          <w:color w:val="000009"/>
        </w:rPr>
      </w:pPr>
      <w:r>
        <w:rPr>
          <w:rFonts w:cs="Times New Roman"/>
          <w:b/>
          <w:bCs/>
          <w:color w:val="000009"/>
        </w:rPr>
        <w:t xml:space="preserve">commercio al dettaglio; </w:t>
      </w:r>
    </w:p>
    <w:p>
      <w:pPr>
        <w:pStyle w:val="ListParagraph"/>
        <w:widowControl/>
        <w:numPr>
          <w:ilvl w:val="0"/>
          <w:numId w:val="7"/>
        </w:numPr>
        <w:spacing w:before="0" w:after="120"/>
        <w:ind w:left="714" w:hanging="357"/>
        <w:contextualSpacing w:val="false"/>
        <w:jc w:val="both"/>
        <w:rPr>
          <w:rFonts w:cs="Times New Roman"/>
          <w:b/>
          <w:b/>
          <w:bCs/>
          <w:color w:val="000009"/>
        </w:rPr>
      </w:pPr>
      <w:bookmarkStart w:id="35" w:name="_Toc213405355"/>
      <w:bookmarkStart w:id="36" w:name="_Toc204619641"/>
      <w:r>
        <w:rPr>
          <w:rFonts w:cs="Times New Roman"/>
          <w:b/>
          <w:bCs/>
          <w:color w:val="000009"/>
        </w:rPr>
        <w:t>innovazione digitale per le imprese;</w:t>
      </w:r>
      <w:bookmarkEnd w:id="35"/>
      <w:bookmarkEnd w:id="36"/>
    </w:p>
    <w:p>
      <w:pPr>
        <w:pStyle w:val="ListParagraph"/>
        <w:widowControl/>
        <w:numPr>
          <w:ilvl w:val="0"/>
          <w:numId w:val="7"/>
        </w:numPr>
        <w:spacing w:before="0" w:after="120"/>
        <w:ind w:left="714" w:hanging="357"/>
        <w:contextualSpacing w:val="false"/>
        <w:jc w:val="both"/>
        <w:rPr>
          <w:rFonts w:cs="Times New Roman"/>
          <w:b/>
          <w:b/>
          <w:bCs/>
          <w:color w:val="000009"/>
        </w:rPr>
      </w:pPr>
      <w:bookmarkStart w:id="37" w:name="_Toc213405356"/>
      <w:bookmarkStart w:id="38" w:name="_Toc204619642"/>
      <w:bookmarkStart w:id="39" w:name="_Hlk204619023"/>
      <w:r>
        <w:rPr>
          <w:rFonts w:cs="Times New Roman"/>
          <w:b/>
          <w:bCs/>
          <w:color w:val="000009"/>
        </w:rPr>
        <w:t>servizi di supporto alle imprese</w:t>
      </w:r>
      <w:bookmarkEnd w:id="39"/>
      <w:r>
        <w:rPr>
          <w:rFonts w:cs="Times New Roman"/>
          <w:b/>
          <w:bCs/>
          <w:color w:val="000009"/>
        </w:rPr>
        <w:t>;</w:t>
      </w:r>
      <w:bookmarkEnd w:id="37"/>
      <w:bookmarkEnd w:id="38"/>
    </w:p>
    <w:p>
      <w:pPr>
        <w:pStyle w:val="ListParagraph"/>
        <w:widowControl/>
        <w:numPr>
          <w:ilvl w:val="0"/>
          <w:numId w:val="7"/>
        </w:numPr>
        <w:spacing w:before="0" w:after="120"/>
        <w:ind w:left="714" w:hanging="357"/>
        <w:contextualSpacing w:val="false"/>
        <w:jc w:val="both"/>
        <w:rPr>
          <w:rFonts w:cs="Times New Roman"/>
          <w:b/>
          <w:b/>
          <w:bCs/>
          <w:color w:val="000009"/>
        </w:rPr>
      </w:pPr>
      <w:bookmarkStart w:id="40" w:name="_Toc213405357"/>
      <w:bookmarkStart w:id="41" w:name="_Toc204619643"/>
      <w:bookmarkStart w:id="42" w:name="_Hlk204619038"/>
      <w:r>
        <w:rPr>
          <w:rFonts w:cs="Times New Roman"/>
          <w:b/>
          <w:bCs/>
          <w:color w:val="000009"/>
        </w:rPr>
        <w:t>artigianato tradizionale ed innovativo</w:t>
      </w:r>
      <w:bookmarkEnd w:id="42"/>
      <w:r>
        <w:rPr>
          <w:rFonts w:cs="Times New Roman"/>
          <w:b/>
          <w:bCs/>
          <w:color w:val="000009"/>
        </w:rPr>
        <w:t>;</w:t>
      </w:r>
      <w:bookmarkEnd w:id="40"/>
      <w:bookmarkEnd w:id="41"/>
      <w:r>
        <w:rPr>
          <w:rFonts w:cs="Times New Roman"/>
          <w:b/>
          <w:bCs/>
          <w:color w:val="000009"/>
        </w:rPr>
        <w:t xml:space="preserve"> </w:t>
      </w:r>
    </w:p>
    <w:p>
      <w:pPr>
        <w:pStyle w:val="ListParagraph"/>
        <w:widowControl/>
        <w:numPr>
          <w:ilvl w:val="0"/>
          <w:numId w:val="7"/>
        </w:numPr>
        <w:spacing w:before="0" w:after="120"/>
        <w:ind w:left="714" w:hanging="357"/>
        <w:contextualSpacing w:val="false"/>
        <w:jc w:val="both"/>
        <w:rPr>
          <w:rFonts w:cs="Times New Roman"/>
          <w:b/>
          <w:b/>
          <w:bCs/>
          <w:color w:val="000009"/>
        </w:rPr>
      </w:pPr>
      <w:bookmarkStart w:id="43" w:name="_Toc213405358"/>
      <w:bookmarkStart w:id="44" w:name="_Toc204619644"/>
      <w:bookmarkStart w:id="45" w:name="_Hlk204619047"/>
      <w:r>
        <w:rPr>
          <w:rFonts w:cs="Times New Roman"/>
          <w:b/>
          <w:bCs/>
          <w:color w:val="000009"/>
        </w:rPr>
        <w:t>agroalimentare di qualità</w:t>
      </w:r>
      <w:bookmarkEnd w:id="45"/>
      <w:r>
        <w:rPr>
          <w:rFonts w:cs="Times New Roman"/>
          <w:b/>
          <w:bCs/>
          <w:color w:val="000009"/>
        </w:rPr>
        <w:t>;</w:t>
      </w:r>
      <w:bookmarkEnd w:id="43"/>
      <w:bookmarkEnd w:id="44"/>
    </w:p>
    <w:p>
      <w:pPr>
        <w:pStyle w:val="ListParagraph"/>
        <w:widowControl/>
        <w:numPr>
          <w:ilvl w:val="0"/>
          <w:numId w:val="7"/>
        </w:numPr>
        <w:spacing w:before="0" w:after="120"/>
        <w:ind w:left="714" w:hanging="357"/>
        <w:contextualSpacing w:val="false"/>
        <w:jc w:val="both"/>
        <w:rPr>
          <w:rFonts w:cs="Times New Roman"/>
          <w:b/>
          <w:b/>
          <w:bCs/>
          <w:color w:val="000009"/>
        </w:rPr>
      </w:pPr>
      <w:bookmarkStart w:id="46" w:name="_Hlk204618872"/>
      <w:bookmarkStart w:id="47" w:name="_Toc213405359"/>
      <w:bookmarkStart w:id="48" w:name="_Toc204619645"/>
      <w:bookmarkStart w:id="49" w:name="_Hlk204619056"/>
      <w:r>
        <w:rPr>
          <w:rFonts w:cs="Times New Roman"/>
          <w:b/>
          <w:bCs/>
          <w:color w:val="000009"/>
        </w:rPr>
        <w:t>servizi per la valorizzazione dei prodotti tipici</w:t>
      </w:r>
      <w:bookmarkEnd w:id="46"/>
      <w:bookmarkEnd w:id="49"/>
      <w:r>
        <w:rPr>
          <w:rFonts w:cs="Times New Roman"/>
          <w:b/>
          <w:bCs/>
          <w:color w:val="000009"/>
        </w:rPr>
        <w:t>.</w:t>
      </w:r>
      <w:bookmarkEnd w:id="30"/>
      <w:bookmarkEnd w:id="47"/>
      <w:bookmarkEnd w:id="48"/>
    </w:p>
    <w:p>
      <w:pPr>
        <w:pStyle w:val="Normal"/>
        <w:jc w:val="both"/>
        <w:rPr>
          <w:rFonts w:cs="Times New Roman"/>
          <w:color w:val="000009"/>
        </w:rPr>
      </w:pPr>
      <w:r>
        <w:rPr>
          <w:rFonts w:cs="Times New Roman"/>
          <w:color w:val="000009"/>
        </w:rPr>
      </w:r>
    </w:p>
    <w:p>
      <w:pPr>
        <w:pStyle w:val="Titolo2"/>
        <w:widowControl/>
        <w:numPr>
          <w:ilvl w:val="1"/>
          <w:numId w:val="5"/>
        </w:numPr>
        <w:spacing w:before="0" w:after="120"/>
        <w:ind w:left="357" w:hanging="357"/>
        <w:jc w:val="both"/>
        <w:rPr>
          <w:rFonts w:ascii="Titillium Web" w:hAnsi="Titillium Web" w:cs="Times New Roman"/>
          <w:b/>
          <w:b/>
          <w:bCs/>
          <w:color w:val="auto"/>
          <w:sz w:val="24"/>
          <w:szCs w:val="24"/>
        </w:rPr>
      </w:pPr>
      <w:bookmarkStart w:id="50" w:name="_Toc215218251"/>
      <w:bookmarkStart w:id="51" w:name="_Toc214529856"/>
      <w:r>
        <w:rPr>
          <w:rFonts w:cs="Times New Roman" w:ascii="Titillium Web" w:hAnsi="Titillium Web"/>
          <w:b/>
          <w:bCs/>
          <w:color w:val="auto"/>
          <w:sz w:val="24"/>
          <w:szCs w:val="24"/>
        </w:rPr>
        <w:t xml:space="preserve"> </w:t>
      </w:r>
      <w:r>
        <w:rPr>
          <w:rFonts w:cs="Times New Roman" w:ascii="Titillium Web" w:hAnsi="Titillium Web"/>
          <w:b/>
          <w:bCs/>
          <w:color w:val="auto"/>
          <w:sz w:val="24"/>
          <w:szCs w:val="24"/>
        </w:rPr>
        <w:t>Importo investimento ammissibile</w:t>
      </w:r>
      <w:bookmarkEnd w:id="50"/>
      <w:bookmarkEnd w:id="51"/>
    </w:p>
    <w:p>
      <w:pPr>
        <w:pStyle w:val="Normal"/>
        <w:spacing w:before="0" w:after="120"/>
        <w:jc w:val="both"/>
        <w:rPr>
          <w:rFonts w:cs="Times New Roman"/>
          <w:color w:val="000009"/>
        </w:rPr>
      </w:pPr>
      <w:r>
        <w:rPr>
          <w:rFonts w:cs="Times New Roman"/>
          <w:color w:val="000009"/>
        </w:rPr>
        <w:t>Gli importi di costo ammissibili per i progetti presentati a valere sulle due linee di intervento sono i seguenti:</w:t>
      </w:r>
    </w:p>
    <w:p>
      <w:pPr>
        <w:pStyle w:val="ListParagraph"/>
        <w:widowControl/>
        <w:numPr>
          <w:ilvl w:val="0"/>
          <w:numId w:val="7"/>
        </w:numPr>
        <w:spacing w:before="0" w:after="120"/>
        <w:ind w:left="714" w:hanging="357"/>
        <w:contextualSpacing w:val="false"/>
        <w:jc w:val="both"/>
        <w:rPr>
          <w:rFonts w:cs="Times New Roman"/>
          <w:color w:val="000009"/>
        </w:rPr>
      </w:pPr>
      <w:r>
        <w:rPr>
          <w:rFonts w:cs="Times New Roman"/>
          <w:b/>
          <w:bCs/>
          <w:color w:val="000009"/>
        </w:rPr>
        <w:t>Linea A</w:t>
      </w:r>
      <w:r>
        <w:rPr>
          <w:rFonts w:cs="Times New Roman"/>
          <w:color w:val="000009"/>
        </w:rPr>
        <w:t xml:space="preserve">: il costo totale ammissibile del progetto presentato a valere sul presente avviso non deve essere inferiore a </w:t>
      </w:r>
      <w:r>
        <w:rPr>
          <w:rFonts w:cs="Times New Roman"/>
          <w:b/>
          <w:bCs/>
          <w:color w:val="000009"/>
        </w:rPr>
        <w:t>€ 10.000,00</w:t>
      </w:r>
      <w:r>
        <w:rPr>
          <w:rFonts w:cs="Times New Roman"/>
          <w:color w:val="000009"/>
        </w:rPr>
        <w:t xml:space="preserve">. L’aiuto è concesso a titolo “de minimis”, sotto forma di agevolazione a fondo perduto nella misura del </w:t>
      </w:r>
      <w:r>
        <w:rPr>
          <w:rFonts w:cs="Times New Roman"/>
          <w:b/>
          <w:bCs/>
          <w:color w:val="000009"/>
        </w:rPr>
        <w:t>60%</w:t>
      </w:r>
      <w:r>
        <w:rPr>
          <w:rFonts w:cs="Times New Roman"/>
          <w:color w:val="000009"/>
        </w:rPr>
        <w:t xml:space="preserve"> dell’investimento e fino ad un massimo di </w:t>
      </w:r>
      <w:r>
        <w:rPr>
          <w:rFonts w:cs="Times New Roman"/>
          <w:b/>
          <w:bCs/>
          <w:color w:val="000009"/>
        </w:rPr>
        <w:t>€ 30.000,00</w:t>
      </w:r>
      <w:r>
        <w:rPr>
          <w:rFonts w:cs="Times New Roman"/>
          <w:color w:val="000009"/>
        </w:rPr>
        <w:t>.</w:t>
      </w:r>
    </w:p>
    <w:p>
      <w:pPr>
        <w:pStyle w:val="ListParagraph"/>
        <w:widowControl/>
        <w:numPr>
          <w:ilvl w:val="0"/>
          <w:numId w:val="7"/>
        </w:numPr>
        <w:spacing w:before="0" w:after="120"/>
        <w:ind w:left="714" w:hanging="357"/>
        <w:contextualSpacing w:val="false"/>
        <w:jc w:val="both"/>
        <w:rPr>
          <w:rFonts w:cs="Times New Roman"/>
          <w:color w:val="000009"/>
        </w:rPr>
      </w:pPr>
      <w:r>
        <w:rPr>
          <w:rFonts w:cs="Times New Roman"/>
          <w:b/>
          <w:bCs/>
          <w:color w:val="000009"/>
        </w:rPr>
        <w:t>Linea B</w:t>
      </w:r>
      <w:r>
        <w:rPr>
          <w:rFonts w:cs="Times New Roman"/>
          <w:color w:val="000009"/>
        </w:rPr>
        <w:t xml:space="preserve">: il costo totale ammissibile del progetto presentato a valere sul presente avviso non deve essere inferiore a </w:t>
      </w:r>
      <w:r>
        <w:rPr>
          <w:rFonts w:cs="Times New Roman"/>
          <w:b/>
          <w:bCs/>
          <w:color w:val="000009"/>
        </w:rPr>
        <w:t>€ 20.000,00</w:t>
      </w:r>
      <w:r>
        <w:rPr>
          <w:rFonts w:cs="Times New Roman"/>
          <w:color w:val="000009"/>
        </w:rPr>
        <w:t xml:space="preserve">. L’aiuto è concesso a titolo “de minimis”, sotto forma di agevolazione a fondo perduto nella misura del </w:t>
      </w:r>
      <w:r>
        <w:rPr>
          <w:rFonts w:cs="Times New Roman"/>
          <w:b/>
          <w:bCs/>
          <w:color w:val="000009"/>
        </w:rPr>
        <w:t>70%</w:t>
      </w:r>
      <w:r>
        <w:rPr>
          <w:rFonts w:cs="Times New Roman"/>
          <w:color w:val="000009"/>
        </w:rPr>
        <w:t xml:space="preserve"> dell’investimento e fino ad un massimo di € </w:t>
      </w:r>
      <w:r>
        <w:rPr>
          <w:rFonts w:cs="Times New Roman"/>
          <w:b/>
          <w:bCs/>
          <w:color w:val="000009"/>
        </w:rPr>
        <w:t>50.000,00</w:t>
      </w:r>
      <w:r>
        <w:rPr>
          <w:rFonts w:cs="Times New Roman"/>
          <w:color w:val="000009"/>
        </w:rPr>
        <w:t>. È previsto, se richiesto, un contributo per le spese di capitale circolante fino ad un massimo del 10% del contributo concedibile. Tale somma deve intendersi inclusa nel limite del contributo massimo concedibile.</w:t>
      </w:r>
    </w:p>
    <w:p>
      <w:pPr>
        <w:pStyle w:val="ListParagraph"/>
        <w:spacing w:before="0" w:after="0"/>
        <w:ind w:left="0" w:hanging="0"/>
        <w:contextualSpacing w:val="false"/>
        <w:jc w:val="both"/>
        <w:rPr>
          <w:rFonts w:cs="Times New Roman"/>
          <w:color w:val="000009"/>
        </w:rPr>
      </w:pPr>
      <w:r>
        <w:rPr>
          <w:rFonts w:cs="Times New Roman"/>
          <w:color w:val="000009"/>
        </w:rPr>
      </w:r>
    </w:p>
    <w:p>
      <w:pPr>
        <w:pStyle w:val="Titolo2"/>
        <w:widowControl/>
        <w:numPr>
          <w:ilvl w:val="1"/>
          <w:numId w:val="5"/>
        </w:numPr>
        <w:tabs>
          <w:tab w:val="clear" w:pos="720"/>
          <w:tab w:val="left" w:pos="426" w:leader="none"/>
        </w:tabs>
        <w:spacing w:before="0" w:after="120"/>
        <w:ind w:left="357" w:hanging="357"/>
        <w:jc w:val="both"/>
        <w:rPr>
          <w:rFonts w:ascii="Titillium Web" w:hAnsi="Titillium Web" w:cs="Times New Roman"/>
          <w:b/>
          <w:b/>
          <w:bCs/>
          <w:color w:val="auto"/>
          <w:sz w:val="24"/>
          <w:szCs w:val="24"/>
        </w:rPr>
      </w:pPr>
      <w:bookmarkStart w:id="52" w:name="_Toc215218252"/>
      <w:bookmarkStart w:id="53" w:name="_Toc214529857"/>
      <w:r>
        <w:rPr>
          <w:rFonts w:cs="Times New Roman" w:ascii="Titillium Web" w:hAnsi="Titillium Web"/>
          <w:b/>
          <w:bCs/>
          <w:color w:val="auto"/>
          <w:sz w:val="24"/>
          <w:szCs w:val="24"/>
        </w:rPr>
        <w:t>Durata e termini di realizzazione del Progetto</w:t>
      </w:r>
      <w:bookmarkEnd w:id="52"/>
      <w:bookmarkEnd w:id="53"/>
    </w:p>
    <w:p>
      <w:pPr>
        <w:pStyle w:val="ListParagraph"/>
        <w:widowControl/>
        <w:numPr>
          <w:ilvl w:val="0"/>
          <w:numId w:val="18"/>
        </w:numPr>
        <w:spacing w:before="0" w:after="120"/>
        <w:ind w:left="357" w:hanging="357"/>
        <w:contextualSpacing w:val="false"/>
        <w:jc w:val="both"/>
        <w:rPr>
          <w:rFonts w:cs="Times New Roman"/>
          <w:color w:val="000009"/>
        </w:rPr>
      </w:pPr>
      <w:bookmarkStart w:id="54" w:name="_Hlk214893068"/>
      <w:bookmarkEnd w:id="54"/>
      <w:r>
        <w:rPr>
          <w:rFonts w:cs="Times New Roman"/>
          <w:color w:val="000009"/>
        </w:rPr>
        <w:t>L’avvio dei lavori</w:t>
      </w:r>
      <w:r>
        <w:rPr/>
        <w:t xml:space="preserve"> </w:t>
      </w:r>
      <w:r>
        <w:rPr>
          <w:rFonts w:cs="Times New Roman"/>
          <w:color w:val="000009"/>
        </w:rPr>
        <w:t>per la realizzazione del programma di investimenti non può avere luogo prima della presentazione della domanda di contributo;</w:t>
      </w:r>
    </w:p>
    <w:p>
      <w:pPr>
        <w:pStyle w:val="ListParagraph"/>
        <w:widowControl/>
        <w:numPr>
          <w:ilvl w:val="0"/>
          <w:numId w:val="18"/>
        </w:numPr>
        <w:spacing w:before="0" w:after="120"/>
        <w:ind w:left="357" w:hanging="357"/>
        <w:contextualSpacing w:val="false"/>
        <w:jc w:val="both"/>
        <w:rPr>
          <w:rFonts w:cs="Times New Roman"/>
          <w:color w:val="000009"/>
        </w:rPr>
      </w:pPr>
      <w:r>
        <w:rPr>
          <w:rFonts w:cs="Times New Roman"/>
          <w:color w:val="000009"/>
        </w:rPr>
        <w:t>Le spese sono ammissibili dal giorno successivo alla data di presentazione della domanda di aiuto;</w:t>
      </w:r>
    </w:p>
    <w:p>
      <w:pPr>
        <w:pStyle w:val="ListParagraph"/>
        <w:widowControl/>
        <w:numPr>
          <w:ilvl w:val="0"/>
          <w:numId w:val="18"/>
        </w:numPr>
        <w:spacing w:before="0" w:after="120"/>
        <w:ind w:left="357" w:hanging="357"/>
        <w:contextualSpacing w:val="false"/>
        <w:jc w:val="both"/>
        <w:rPr>
          <w:rFonts w:cs="Times New Roman"/>
          <w:color w:val="000009"/>
        </w:rPr>
      </w:pPr>
      <w:r>
        <w:rPr>
          <w:rFonts w:cs="Times New Roman"/>
          <w:color w:val="000009"/>
        </w:rPr>
        <w:t>Le attività previste per il progetto proposto dovranno essere avviate (primo titolo di spesa quietanzato) entro 30 giorni dalla data di concessione dell’aiuto e concludersi entro 9 mesi dalla data di concessione del contributo e sancita dalla sottoscrizione dall’atto di adesione ed obbligo.</w:t>
      </w:r>
    </w:p>
    <w:p>
      <w:pPr>
        <w:pStyle w:val="ListParagraph"/>
        <w:numPr>
          <w:ilvl w:val="0"/>
          <w:numId w:val="18"/>
        </w:numPr>
        <w:spacing w:before="0" w:after="120"/>
        <w:contextualSpacing w:val="false"/>
        <w:jc w:val="both"/>
        <w:rPr>
          <w:rFonts w:cs="Times New Roman"/>
          <w:color w:val="000009"/>
        </w:rPr>
      </w:pPr>
      <w:r>
        <w:rPr>
          <w:rFonts w:cs="Times New Roman"/>
          <w:color w:val="000009"/>
        </w:rPr>
        <w:t>E’ prevista una proroga di 3 mesi con richiesta da presentarsi entro 30 giorni precedenti la data di conclusione. Entro tale termine tutte le spese ammissibili devono essere fatturate e pagate dal Beneficiario.</w:t>
      </w:r>
    </w:p>
    <w:p>
      <w:pPr>
        <w:pStyle w:val="ListParagraph"/>
        <w:spacing w:before="0" w:after="0"/>
        <w:ind w:left="0" w:hanging="0"/>
        <w:contextualSpacing w:val="false"/>
        <w:jc w:val="both"/>
        <w:rPr>
          <w:rFonts w:cs="Times New Roman"/>
          <w:color w:val="000009"/>
        </w:rPr>
      </w:pPr>
      <w:r>
        <w:rPr>
          <w:rFonts w:cs="Times New Roman"/>
          <w:color w:val="000009"/>
        </w:rPr>
      </w:r>
    </w:p>
    <w:p>
      <w:pPr>
        <w:pStyle w:val="Titolo2"/>
        <w:widowControl/>
        <w:numPr>
          <w:ilvl w:val="1"/>
          <w:numId w:val="5"/>
        </w:numPr>
        <w:tabs>
          <w:tab w:val="clear" w:pos="720"/>
          <w:tab w:val="left" w:pos="619" w:leader="none"/>
        </w:tabs>
        <w:spacing w:before="0" w:after="120"/>
        <w:ind w:left="357" w:hanging="357"/>
        <w:jc w:val="both"/>
        <w:rPr>
          <w:rFonts w:ascii="Titillium Web" w:hAnsi="Titillium Web" w:cs="Times New Roman"/>
          <w:b/>
          <w:b/>
          <w:bCs/>
          <w:color w:val="auto"/>
          <w:sz w:val="24"/>
          <w:szCs w:val="24"/>
        </w:rPr>
      </w:pPr>
      <w:bookmarkStart w:id="55" w:name="_Hlk214893068"/>
      <w:bookmarkStart w:id="56" w:name="_Toc215218253"/>
      <w:bookmarkStart w:id="57" w:name="_Toc214529858"/>
      <w:bookmarkEnd w:id="55"/>
      <w:r>
        <w:rPr>
          <w:rFonts w:cs="Times New Roman" w:ascii="Titillium Web" w:hAnsi="Titillium Web"/>
          <w:b/>
          <w:bCs/>
          <w:color w:val="auto"/>
          <w:sz w:val="24"/>
          <w:szCs w:val="24"/>
        </w:rPr>
        <w:t>Spese ammissibili</w:t>
      </w:r>
      <w:bookmarkEnd w:id="56"/>
      <w:bookmarkEnd w:id="57"/>
    </w:p>
    <w:p>
      <w:pPr>
        <w:pStyle w:val="ListParagraph"/>
        <w:widowControl/>
        <w:numPr>
          <w:ilvl w:val="0"/>
          <w:numId w:val="19"/>
        </w:numPr>
        <w:spacing w:before="0" w:after="120"/>
        <w:ind w:left="357" w:hanging="357"/>
        <w:contextualSpacing w:val="false"/>
        <w:jc w:val="both"/>
        <w:rPr>
          <w:rFonts w:cs="Times New Roman"/>
          <w:color w:val="000009"/>
        </w:rPr>
      </w:pPr>
      <w:r>
        <w:rPr>
          <w:rFonts w:cs="Times New Roman"/>
          <w:color w:val="000009"/>
        </w:rPr>
        <w:t>Le spese ammissibili per ciascuna operazione di cui al presente Avviso sono evidenziate nell’Appendice (Allegato F).</w:t>
      </w:r>
    </w:p>
    <w:p>
      <w:pPr>
        <w:pStyle w:val="ListParagraph"/>
        <w:widowControl/>
        <w:numPr>
          <w:ilvl w:val="0"/>
          <w:numId w:val="19"/>
        </w:numPr>
        <w:spacing w:before="0" w:after="120"/>
        <w:ind w:left="357" w:hanging="357"/>
        <w:contextualSpacing w:val="false"/>
        <w:jc w:val="both"/>
        <w:rPr>
          <w:rFonts w:cs="Times New Roman"/>
          <w:color w:val="000009"/>
        </w:rPr>
      </w:pPr>
      <w:r>
        <w:rPr>
          <w:rFonts w:cs="Times New Roman"/>
          <w:color w:val="000009"/>
        </w:rPr>
        <w:t>Ai fini della determinazione dell’ammissibilità della spesa si applicano, per quanto pertinenti, anche le seguenti norme: Reg. 2831/2023; Decreto del Presidente della Repubblica n. 66 del 10 marzo 2025 recante i criteri sull’ammissibilità della spesa per i programmi cofinanziati dai fondi per la politica di coesione e dagli altri fondi europei a gestione concorrente di cui al regolamento (UE) 2021/1060 per il periodo di programmazione 2021/2027.</w:t>
      </w:r>
    </w:p>
    <w:p>
      <w:pPr>
        <w:pStyle w:val="ListParagraph"/>
        <w:widowControl/>
        <w:numPr>
          <w:ilvl w:val="0"/>
          <w:numId w:val="19"/>
        </w:numPr>
        <w:spacing w:before="0" w:after="120"/>
        <w:ind w:left="357" w:hanging="357"/>
        <w:contextualSpacing w:val="false"/>
        <w:jc w:val="both"/>
        <w:rPr>
          <w:rFonts w:cs="Times New Roman"/>
          <w:color w:val="000009"/>
        </w:rPr>
      </w:pPr>
      <w:r>
        <w:rPr>
          <w:rFonts w:cs="Times New Roman"/>
          <w:color w:val="000009"/>
        </w:rPr>
        <w:t>Ai fini della rendicontazione e dell’erogazione del contributo, tutte le spese devono:</w:t>
      </w:r>
    </w:p>
    <w:p>
      <w:pPr>
        <w:pStyle w:val="ListParagraph"/>
        <w:widowControl/>
        <w:numPr>
          <w:ilvl w:val="0"/>
          <w:numId w:val="20"/>
        </w:numPr>
        <w:spacing w:before="0" w:after="120"/>
        <w:ind w:left="714" w:hanging="357"/>
        <w:contextualSpacing w:val="false"/>
        <w:jc w:val="both"/>
        <w:rPr>
          <w:rFonts w:cs="Times New Roman"/>
          <w:color w:val="000009"/>
        </w:rPr>
      </w:pPr>
      <w:r>
        <w:rPr>
          <w:rFonts w:cs="Times New Roman"/>
          <w:color w:val="000009"/>
        </w:rPr>
        <w:t>rientrare in una delle voci di spesa ammissibili;</w:t>
      </w:r>
    </w:p>
    <w:p>
      <w:pPr>
        <w:pStyle w:val="ListParagraph"/>
        <w:widowControl/>
        <w:numPr>
          <w:ilvl w:val="0"/>
          <w:numId w:val="20"/>
        </w:numPr>
        <w:spacing w:before="0" w:after="120"/>
        <w:ind w:left="714" w:hanging="357"/>
        <w:contextualSpacing w:val="false"/>
        <w:jc w:val="both"/>
        <w:rPr>
          <w:rFonts w:cs="Times New Roman"/>
          <w:color w:val="000009"/>
        </w:rPr>
      </w:pPr>
      <w:r>
        <w:rPr>
          <w:rFonts w:cs="Times New Roman"/>
          <w:color w:val="000009"/>
        </w:rPr>
        <w:t>essere effettuate entro i termini stabiliti dal presente Avviso;</w:t>
      </w:r>
    </w:p>
    <w:p>
      <w:pPr>
        <w:pStyle w:val="ListParagraph"/>
        <w:widowControl/>
        <w:numPr>
          <w:ilvl w:val="0"/>
          <w:numId w:val="20"/>
        </w:numPr>
        <w:spacing w:before="0" w:after="120"/>
        <w:ind w:left="714" w:hanging="357"/>
        <w:contextualSpacing w:val="false"/>
        <w:jc w:val="both"/>
        <w:rPr>
          <w:rFonts w:cs="Times New Roman"/>
          <w:color w:val="000009"/>
        </w:rPr>
      </w:pPr>
      <w:r>
        <w:rPr>
          <w:rFonts w:cs="Times New Roman"/>
          <w:color w:val="000009"/>
        </w:rPr>
        <w:t>essere effettivamente e strettamente connesse al progetto ammesso all’agevolazione;</w:t>
      </w:r>
    </w:p>
    <w:p>
      <w:pPr>
        <w:pStyle w:val="ListParagraph"/>
        <w:widowControl/>
        <w:numPr>
          <w:ilvl w:val="0"/>
          <w:numId w:val="20"/>
        </w:numPr>
        <w:spacing w:before="0" w:after="120"/>
        <w:ind w:left="714" w:hanging="357"/>
        <w:contextualSpacing w:val="false"/>
        <w:jc w:val="both"/>
        <w:rPr>
          <w:rFonts w:cs="Times New Roman"/>
          <w:color w:val="000009"/>
        </w:rPr>
      </w:pPr>
      <w:r>
        <w:rPr>
          <w:rFonts w:cs="Times New Roman"/>
          <w:color w:val="000009"/>
        </w:rPr>
        <w:t>essere relative a beni e servizi che risultano consegnati ovvero completamente forniti/realizzati;</w:t>
      </w:r>
    </w:p>
    <w:p>
      <w:pPr>
        <w:pStyle w:val="ListParagraph"/>
        <w:widowControl/>
        <w:numPr>
          <w:ilvl w:val="0"/>
          <w:numId w:val="20"/>
        </w:numPr>
        <w:spacing w:before="0" w:after="120"/>
        <w:ind w:left="714" w:hanging="357"/>
        <w:contextualSpacing w:val="false"/>
        <w:jc w:val="both"/>
        <w:rPr>
          <w:rFonts w:cs="Times New Roman"/>
          <w:color w:val="000009"/>
        </w:rPr>
      </w:pPr>
      <w:r>
        <w:rPr>
          <w:rFonts w:cs="Times New Roman"/>
          <w:color w:val="000009"/>
        </w:rPr>
        <w:t>derivare da atti giuridicamente vincolanti (contratti, convenzioni, lettere d’incarico, ecc.), da cui risulti chiaramente l’oggetto della prestazione nonché il riferimento all’operazione per la quale è stato concesso l’aiuto;</w:t>
      </w:r>
    </w:p>
    <w:p>
      <w:pPr>
        <w:pStyle w:val="ListParagraph"/>
        <w:widowControl/>
        <w:numPr>
          <w:ilvl w:val="0"/>
          <w:numId w:val="20"/>
        </w:numPr>
        <w:spacing w:before="0" w:after="120"/>
        <w:ind w:left="714" w:hanging="357"/>
        <w:contextualSpacing w:val="false"/>
        <w:jc w:val="both"/>
        <w:rPr>
          <w:rFonts w:cs="Times New Roman"/>
          <w:color w:val="000009"/>
        </w:rPr>
      </w:pPr>
      <w:r>
        <w:rPr>
          <w:rFonts w:cs="Times New Roman"/>
          <w:color w:val="000009"/>
        </w:rPr>
        <w:t>essere effettivamente sostenute e giustificate da fatture quietanzate o da documenti contabili di valore probatorio equivalente;</w:t>
      </w:r>
    </w:p>
    <w:p>
      <w:pPr>
        <w:pStyle w:val="ListParagraph"/>
        <w:widowControl/>
        <w:numPr>
          <w:ilvl w:val="0"/>
          <w:numId w:val="20"/>
        </w:numPr>
        <w:spacing w:before="0" w:after="120"/>
        <w:ind w:left="714" w:hanging="357"/>
        <w:contextualSpacing w:val="false"/>
        <w:jc w:val="both"/>
        <w:rPr>
          <w:rFonts w:cs="Times New Roman"/>
          <w:color w:val="000009"/>
        </w:rPr>
      </w:pPr>
      <w:r>
        <w:rPr>
          <w:rFonts w:cs="Times New Roman"/>
          <w:color w:val="000009"/>
        </w:rPr>
        <w:t>essere chiaramente imputate al relativo soggetto beneficiario;</w:t>
      </w:r>
    </w:p>
    <w:p>
      <w:pPr>
        <w:pStyle w:val="ListParagraph"/>
        <w:widowControl/>
        <w:numPr>
          <w:ilvl w:val="0"/>
          <w:numId w:val="20"/>
        </w:numPr>
        <w:spacing w:before="0" w:after="120"/>
        <w:ind w:left="714" w:hanging="357"/>
        <w:contextualSpacing w:val="false"/>
        <w:jc w:val="both"/>
        <w:rPr>
          <w:rFonts w:cs="Times New Roman"/>
          <w:color w:val="000009"/>
        </w:rPr>
      </w:pPr>
      <w:r>
        <w:rPr>
          <w:rFonts w:cs="Times New Roman"/>
          <w:color w:val="000009"/>
        </w:rPr>
        <w:t>aver dato luogo a un’effettiva uscita di cassa da parte del soggetto beneficiario, comprovata da titoli attestanti l’avvenuto pagamento che permettano di ricondurre inequivocabilmente la spesa al progetto oggetto di agevolazione. A tale proposito si specifica quanto segue:</w:t>
      </w:r>
    </w:p>
    <w:p>
      <w:pPr>
        <w:pStyle w:val="ListParagraph"/>
        <w:widowControl/>
        <w:numPr>
          <w:ilvl w:val="0"/>
          <w:numId w:val="51"/>
        </w:numPr>
        <w:spacing w:before="0" w:after="120"/>
        <w:ind w:left="1094" w:hanging="357"/>
        <w:contextualSpacing w:val="false"/>
        <w:jc w:val="both"/>
        <w:rPr>
          <w:rFonts w:cs="Times New Roman"/>
          <w:color w:val="000009"/>
        </w:rPr>
      </w:pPr>
      <w:r>
        <w:rPr>
          <w:rFonts w:cs="Times New Roman"/>
          <w:bCs/>
          <w:color w:val="000009"/>
        </w:rPr>
        <w:t>tutte le spese devono essere pagate esclusivamente con bonifico bancario o con ricevuta bancaria (non sono ammessi i pagamenti in contanti e tramite assegno, pena l’esclusione del relativo importo dalle agevolazioni). I pagamenti effettuati con modalità diverse da quelle sopra riportate e non univocamente riferibili a spese inerenti al programma finanziato vengono trattati come pagamenti in contanti e pertanto considerati come non ammissibili</w:t>
      </w:r>
      <w:r>
        <w:rPr>
          <w:rFonts w:cs="Times New Roman"/>
          <w:color w:val="000009"/>
        </w:rPr>
        <w:t>. Tutti i pagamenti effettuati con bonifico devono contenere l’indicazione nella causale del riferimento al progetto pena la non ammissione del relativo importo;</w:t>
      </w:r>
    </w:p>
    <w:p>
      <w:pPr>
        <w:pStyle w:val="ListParagraph"/>
        <w:widowControl/>
        <w:numPr>
          <w:ilvl w:val="0"/>
          <w:numId w:val="51"/>
        </w:numPr>
        <w:spacing w:before="0" w:after="120"/>
        <w:ind w:left="1094" w:hanging="357"/>
        <w:contextualSpacing w:val="false"/>
        <w:jc w:val="both"/>
        <w:rPr>
          <w:rFonts w:cs="Times New Roman"/>
          <w:color w:val="000009"/>
        </w:rPr>
      </w:pPr>
      <w:r>
        <w:rPr>
          <w:rFonts w:cs="Times New Roman"/>
          <w:color w:val="000009"/>
        </w:rPr>
        <w:t>le fatture o i documenti contabili aventi valore probatorio equivalente devono essere “quietanzati”, ovvero essere accompagnati da un documento attestante l’avvenuto pagamento: la quietanza di pagamento, affinché possa ritenersi esistente, e quindi valida, ed efficace, quale comprova dell’effettività del pagamento effettuato in esecuzione dell’operazione ammessa a contributo, deve essere espressamente ed inequivocabilmente riferita al diritto di credito di cui al documento contabile probatorio. Le modalità di quietanza possono essere, alternativamente, le seguenti: i) dichiarazione in originale e su carta intestata del soggetto emittente che attesti che la fattura, o altro documento contabile (dei quali devono essere indicati gli estremi), sono stati regolarmente saldati (un’unica dichiarazione dello stesso emittente può riferirsi a più fatture) con l’indicazione della modalità di pagamento e i riferimenti identificativi, ii) copia della fattura, o altro documento contabile, accompagnati da ricevuta bancaria o copia dell’assegno con relativo estratto conto che attesti il pagamento e l’uscita finanziaria;</w:t>
      </w:r>
    </w:p>
    <w:p>
      <w:pPr>
        <w:pStyle w:val="ListParagraph"/>
        <w:widowControl/>
        <w:numPr>
          <w:ilvl w:val="0"/>
          <w:numId w:val="51"/>
        </w:numPr>
        <w:spacing w:before="0" w:after="120"/>
        <w:ind w:left="1094" w:hanging="357"/>
        <w:contextualSpacing w:val="false"/>
        <w:jc w:val="both"/>
        <w:rPr>
          <w:rFonts w:cs="Times New Roman"/>
          <w:color w:val="000009"/>
        </w:rPr>
      </w:pPr>
      <w:r>
        <w:rPr>
          <w:rFonts w:cs="Times New Roman"/>
          <w:color w:val="000009"/>
        </w:rPr>
        <w:t>nel caso di pagamenti in valuta estera il relativo controvalore in euro è ottenuto sulla base del cambio utilizzato per la transazione nel giorno di effettivo pagamento;</w:t>
      </w:r>
    </w:p>
    <w:p>
      <w:pPr>
        <w:pStyle w:val="ListParagraph"/>
        <w:widowControl/>
        <w:numPr>
          <w:ilvl w:val="0"/>
          <w:numId w:val="51"/>
        </w:numPr>
        <w:spacing w:before="0" w:after="120"/>
        <w:ind w:left="1094" w:hanging="357"/>
        <w:contextualSpacing w:val="false"/>
        <w:jc w:val="both"/>
        <w:rPr>
          <w:rFonts w:cs="Times New Roman"/>
          <w:color w:val="000009"/>
        </w:rPr>
      </w:pPr>
      <w:r>
        <w:rPr>
          <w:rFonts w:cs="Times New Roman"/>
          <w:color w:val="000009"/>
        </w:rPr>
        <w:t>ai fini della prova del pagamento il soggetto beneficiario deve presentare l’estratto del conto corrente da cui risulti l’addebito (con l’indicazione specifica dell’importo, della data del pagamento, nonché della causale dello stesso);</w:t>
      </w:r>
    </w:p>
    <w:p>
      <w:pPr>
        <w:pStyle w:val="ListParagraph"/>
        <w:widowControl/>
        <w:numPr>
          <w:ilvl w:val="0"/>
          <w:numId w:val="51"/>
        </w:numPr>
        <w:spacing w:before="0" w:after="120"/>
        <w:ind w:left="1094" w:hanging="357"/>
        <w:contextualSpacing w:val="false"/>
        <w:jc w:val="both"/>
        <w:rPr>
          <w:rFonts w:cs="Times New Roman"/>
          <w:color w:val="000009"/>
        </w:rPr>
      </w:pPr>
      <w:r>
        <w:rPr>
          <w:rFonts w:cs="Times New Roman"/>
          <w:color w:val="000009"/>
        </w:rPr>
        <w:t>tutte le spese devono essere registrate ed essere chiaramente identificabili nella contabilità del soggetto beneficiario (tenuta di contabilità separata del progetto).</w:t>
      </w:r>
    </w:p>
    <w:p>
      <w:pPr>
        <w:pStyle w:val="ListParagraph"/>
        <w:spacing w:before="0" w:after="0"/>
        <w:ind w:left="0" w:hanging="0"/>
        <w:contextualSpacing w:val="false"/>
        <w:jc w:val="both"/>
        <w:rPr>
          <w:rFonts w:cs="Times New Roman"/>
          <w:color w:val="000009"/>
        </w:rPr>
      </w:pPr>
      <w:r>
        <w:rPr>
          <w:rFonts w:cs="Times New Roman"/>
          <w:color w:val="000009"/>
        </w:rPr>
      </w:r>
    </w:p>
    <w:p>
      <w:pPr>
        <w:pStyle w:val="ListParagraph"/>
        <w:widowControl/>
        <w:numPr>
          <w:ilvl w:val="0"/>
          <w:numId w:val="19"/>
        </w:numPr>
        <w:spacing w:before="0" w:after="120"/>
        <w:ind w:left="357" w:hanging="357"/>
        <w:contextualSpacing w:val="false"/>
        <w:jc w:val="both"/>
        <w:rPr>
          <w:rFonts w:cs="Times New Roman"/>
          <w:color w:val="000009"/>
        </w:rPr>
      </w:pPr>
      <w:r>
        <w:rPr>
          <w:rFonts w:cs="Times New Roman"/>
          <w:color w:val="000009"/>
        </w:rPr>
        <w:t>Non sono comunque ammissibili:</w:t>
      </w:r>
    </w:p>
    <w:p>
      <w:pPr>
        <w:pStyle w:val="ListParagraph"/>
        <w:widowControl/>
        <w:numPr>
          <w:ilvl w:val="0"/>
          <w:numId w:val="21"/>
        </w:numPr>
        <w:spacing w:before="0" w:after="120"/>
        <w:ind w:left="714" w:hanging="357"/>
        <w:contextualSpacing w:val="false"/>
        <w:jc w:val="both"/>
        <w:rPr>
          <w:rFonts w:cs="Times New Roman"/>
          <w:color w:val="000009"/>
        </w:rPr>
      </w:pPr>
      <w:r>
        <w:rPr>
          <w:rFonts w:cs="Times New Roman"/>
          <w:color w:val="000009"/>
        </w:rPr>
        <w:t>le spese che non sono direttamente imputabili all'operazione oggetto di finanziamento;</w:t>
      </w:r>
    </w:p>
    <w:p>
      <w:pPr>
        <w:pStyle w:val="ListParagraph"/>
        <w:widowControl/>
        <w:numPr>
          <w:ilvl w:val="0"/>
          <w:numId w:val="21"/>
        </w:numPr>
        <w:spacing w:before="0" w:after="120"/>
        <w:ind w:left="714" w:hanging="357"/>
        <w:contextualSpacing w:val="false"/>
        <w:jc w:val="both"/>
        <w:rPr>
          <w:rFonts w:cs="Times New Roman"/>
          <w:color w:val="000009"/>
        </w:rPr>
      </w:pPr>
      <w:r>
        <w:rPr>
          <w:rFonts w:cs="Times New Roman"/>
          <w:color w:val="000009"/>
        </w:rPr>
        <w:t>le spese che non sono riconducibili a una categoria di spese prevista dal presente Avviso Pubblico;</w:t>
      </w:r>
    </w:p>
    <w:p>
      <w:pPr>
        <w:pStyle w:val="ListParagraph"/>
        <w:widowControl/>
        <w:numPr>
          <w:ilvl w:val="0"/>
          <w:numId w:val="21"/>
        </w:numPr>
        <w:spacing w:before="0" w:after="120"/>
        <w:ind w:left="714" w:hanging="357"/>
        <w:contextualSpacing w:val="false"/>
        <w:jc w:val="both"/>
        <w:rPr>
          <w:rFonts w:cs="Times New Roman"/>
          <w:color w:val="000009"/>
        </w:rPr>
      </w:pPr>
      <w:r>
        <w:rPr>
          <w:rFonts w:cs="Times New Roman"/>
          <w:color w:val="000009"/>
        </w:rPr>
        <w:t>le spese che non sono pertinenti con l'attività oggetto dell’operazione;</w:t>
      </w:r>
    </w:p>
    <w:p>
      <w:pPr>
        <w:pStyle w:val="ListParagraph"/>
        <w:widowControl/>
        <w:numPr>
          <w:ilvl w:val="0"/>
          <w:numId w:val="21"/>
        </w:numPr>
        <w:spacing w:before="0" w:after="120"/>
        <w:ind w:left="714" w:hanging="357"/>
        <w:contextualSpacing w:val="false"/>
        <w:jc w:val="both"/>
        <w:rPr>
          <w:rFonts w:cs="Times New Roman"/>
          <w:color w:val="000009"/>
        </w:rPr>
      </w:pPr>
      <w:r>
        <w:rPr>
          <w:rFonts w:cs="Times New Roman"/>
          <w:color w:val="000009"/>
        </w:rPr>
        <w:t>le spese che non sono state effettivamente sostenute;</w:t>
      </w:r>
    </w:p>
    <w:p>
      <w:pPr>
        <w:pStyle w:val="ListParagraph"/>
        <w:widowControl/>
        <w:numPr>
          <w:ilvl w:val="0"/>
          <w:numId w:val="21"/>
        </w:numPr>
        <w:spacing w:before="0" w:after="120"/>
        <w:ind w:left="714" w:hanging="357"/>
        <w:contextualSpacing w:val="false"/>
        <w:jc w:val="both"/>
        <w:rPr>
          <w:rFonts w:cs="Times New Roman"/>
          <w:color w:val="000009"/>
        </w:rPr>
      </w:pPr>
      <w:r>
        <w:rPr>
          <w:rFonts w:cs="Times New Roman"/>
          <w:color w:val="000009"/>
        </w:rPr>
        <w:t>le spese che non siano verificabili in base a un metodo controllabile al momento della rendicontazione finale delle spese;</w:t>
      </w:r>
    </w:p>
    <w:p>
      <w:pPr>
        <w:pStyle w:val="ListParagraph"/>
        <w:widowControl/>
        <w:numPr>
          <w:ilvl w:val="0"/>
          <w:numId w:val="21"/>
        </w:numPr>
        <w:spacing w:before="0" w:after="120"/>
        <w:ind w:left="714" w:hanging="357"/>
        <w:contextualSpacing w:val="false"/>
        <w:jc w:val="both"/>
        <w:rPr>
          <w:rFonts w:cs="Times New Roman"/>
          <w:color w:val="000009"/>
        </w:rPr>
      </w:pPr>
      <w:r>
        <w:rPr>
          <w:rFonts w:cs="Times New Roman"/>
          <w:color w:val="000009"/>
        </w:rPr>
        <w:t>le spese che non siano comprovate da fatture quietanzate o, ove ciò non sia possibile, da documenti contabili aventi forza probatoria equivalente;</w:t>
      </w:r>
    </w:p>
    <w:p>
      <w:pPr>
        <w:pStyle w:val="ListParagraph"/>
        <w:widowControl/>
        <w:numPr>
          <w:ilvl w:val="0"/>
          <w:numId w:val="21"/>
        </w:numPr>
        <w:spacing w:before="0" w:after="120"/>
        <w:ind w:left="714" w:hanging="357"/>
        <w:contextualSpacing w:val="false"/>
        <w:jc w:val="both"/>
        <w:rPr>
          <w:rFonts w:cs="Times New Roman"/>
          <w:color w:val="000009"/>
        </w:rPr>
      </w:pPr>
      <w:r>
        <w:rPr>
          <w:rFonts w:cs="Times New Roman"/>
          <w:color w:val="000009"/>
        </w:rPr>
        <w:t>le spese che non siano sostenute da documentazione conforme alla normativa fiscale, contabile e civilistica vigente;</w:t>
      </w:r>
    </w:p>
    <w:p>
      <w:pPr>
        <w:pStyle w:val="ListParagraph"/>
        <w:widowControl/>
        <w:numPr>
          <w:ilvl w:val="0"/>
          <w:numId w:val="21"/>
        </w:numPr>
        <w:spacing w:before="0" w:after="120"/>
        <w:ind w:left="714" w:hanging="357"/>
        <w:contextualSpacing w:val="false"/>
        <w:jc w:val="both"/>
        <w:rPr>
          <w:rFonts w:cs="Times New Roman"/>
          <w:color w:val="000009"/>
        </w:rPr>
      </w:pPr>
      <w:r>
        <w:rPr>
          <w:rFonts w:cs="Times New Roman"/>
          <w:color w:val="000009"/>
        </w:rPr>
        <w:t>le spese per le quali non sia garantita la tracciabilità, ovvero spese per le quali i pagamenti non siano stati effettuati mediante bonifico bancario con evidenza dell’addebito sul c/c bancario (non sono pertanto ammessi pagamenti per contanti o compensazioni);</w:t>
      </w:r>
    </w:p>
    <w:p>
      <w:pPr>
        <w:pStyle w:val="ListParagraph"/>
        <w:widowControl/>
        <w:numPr>
          <w:ilvl w:val="0"/>
          <w:numId w:val="21"/>
        </w:numPr>
        <w:spacing w:before="0" w:after="120"/>
        <w:ind w:left="714" w:hanging="357"/>
        <w:contextualSpacing w:val="false"/>
        <w:jc w:val="both"/>
        <w:rPr>
          <w:rFonts w:cs="Times New Roman"/>
          <w:color w:val="000009"/>
        </w:rPr>
      </w:pPr>
      <w:r>
        <w:rPr>
          <w:rFonts w:cs="Times New Roman"/>
          <w:color w:val="000009"/>
        </w:rPr>
        <w:t>i pagamenti effettuati mediante modalità di pagamento diverse da quelle consentite dalle disposizioni di cui al presente Avviso;</w:t>
      </w:r>
    </w:p>
    <w:p>
      <w:pPr>
        <w:pStyle w:val="ListParagraph"/>
        <w:widowControl/>
        <w:numPr>
          <w:ilvl w:val="0"/>
          <w:numId w:val="21"/>
        </w:numPr>
        <w:spacing w:before="0" w:after="120"/>
        <w:ind w:left="714" w:hanging="357"/>
        <w:contextualSpacing w:val="false"/>
        <w:jc w:val="both"/>
        <w:rPr>
          <w:rFonts w:cs="Times New Roman"/>
          <w:color w:val="000009"/>
        </w:rPr>
      </w:pPr>
      <w:r>
        <w:rPr>
          <w:rFonts w:cs="Times New Roman"/>
          <w:color w:val="000009"/>
        </w:rPr>
        <w:t>le spese per acquisto di terreni/immobili;</w:t>
      </w:r>
    </w:p>
    <w:p>
      <w:pPr>
        <w:pStyle w:val="ListParagraph"/>
        <w:widowControl/>
        <w:numPr>
          <w:ilvl w:val="0"/>
          <w:numId w:val="21"/>
        </w:numPr>
        <w:spacing w:before="0" w:after="120"/>
        <w:ind w:left="714" w:hanging="357"/>
        <w:contextualSpacing w:val="false"/>
        <w:jc w:val="both"/>
        <w:rPr>
          <w:rFonts w:cs="Times New Roman"/>
          <w:color w:val="000009"/>
        </w:rPr>
      </w:pPr>
      <w:r>
        <w:rPr>
          <w:rFonts w:cs="Times New Roman"/>
          <w:color w:val="000009"/>
        </w:rPr>
        <w:t xml:space="preserve"> </w:t>
      </w:r>
      <w:r>
        <w:rPr>
          <w:rFonts w:cs="Times New Roman"/>
          <w:color w:val="000009"/>
        </w:rPr>
        <w:t xml:space="preserve">le spese relative a scorte di materie prime e ausiliarie, macchinari, impianti e attrezzature usati o non venduti direttamente dal produttore o dal suo rappresentante o rivenditore, le spese di funzionamento in generale e tutte le spese non capitalizzate; </w:t>
      </w:r>
    </w:p>
    <w:p>
      <w:pPr>
        <w:pStyle w:val="ListParagraph"/>
        <w:widowControl/>
        <w:numPr>
          <w:ilvl w:val="0"/>
          <w:numId w:val="21"/>
        </w:numPr>
        <w:spacing w:before="0" w:after="120"/>
        <w:ind w:left="714" w:hanging="357"/>
        <w:contextualSpacing w:val="false"/>
        <w:jc w:val="both"/>
        <w:rPr>
          <w:rFonts w:cs="Times New Roman"/>
          <w:color w:val="000009"/>
        </w:rPr>
      </w:pPr>
      <w:r>
        <w:rPr>
          <w:rFonts w:cs="Times New Roman"/>
          <w:color w:val="000009"/>
        </w:rPr>
        <w:t>le spese relative a interessi passivi;</w:t>
      </w:r>
    </w:p>
    <w:p>
      <w:pPr>
        <w:pStyle w:val="ListParagraph"/>
        <w:widowControl/>
        <w:numPr>
          <w:ilvl w:val="0"/>
          <w:numId w:val="21"/>
        </w:numPr>
        <w:spacing w:before="0" w:after="120"/>
        <w:ind w:left="714" w:hanging="357"/>
        <w:contextualSpacing w:val="false"/>
        <w:jc w:val="both"/>
        <w:rPr>
          <w:rFonts w:cs="Times New Roman"/>
          <w:color w:val="000009"/>
        </w:rPr>
      </w:pPr>
      <w:r>
        <w:rPr>
          <w:rFonts w:cs="Times New Roman"/>
          <w:color w:val="000009"/>
        </w:rPr>
        <w:t>le spese relative all’IVA quando tale imposta sia recuperabile;</w:t>
      </w:r>
    </w:p>
    <w:p>
      <w:pPr>
        <w:pStyle w:val="ListParagraph"/>
        <w:widowControl/>
        <w:numPr>
          <w:ilvl w:val="0"/>
          <w:numId w:val="21"/>
        </w:numPr>
        <w:spacing w:before="0" w:after="120"/>
        <w:ind w:left="714" w:hanging="357"/>
        <w:contextualSpacing w:val="false"/>
        <w:jc w:val="both"/>
        <w:rPr>
          <w:rFonts w:cs="Times New Roman"/>
          <w:color w:val="000009"/>
        </w:rPr>
      </w:pPr>
      <w:r>
        <w:rPr>
          <w:rFonts w:cs="Times New Roman"/>
          <w:color w:val="000009"/>
        </w:rPr>
        <w:t>le spese relative ad attività di intermediazione;</w:t>
      </w:r>
    </w:p>
    <w:p>
      <w:pPr>
        <w:pStyle w:val="ListParagraph"/>
        <w:widowControl/>
        <w:numPr>
          <w:ilvl w:val="0"/>
          <w:numId w:val="21"/>
        </w:numPr>
        <w:spacing w:before="0" w:after="120"/>
        <w:ind w:left="714" w:hanging="357"/>
        <w:contextualSpacing w:val="false"/>
        <w:jc w:val="both"/>
        <w:rPr>
          <w:rFonts w:cs="Times New Roman"/>
          <w:color w:val="000009"/>
        </w:rPr>
      </w:pPr>
      <w:r>
        <w:rPr>
          <w:rFonts w:cs="Times New Roman"/>
          <w:color w:val="000009"/>
        </w:rPr>
        <w:t>le spese per mezzi di trasporto targati (ad eccezione dei mezzi all’interno dei quali si svolga una fase del ciclo di produzione, purché dimensionati all’effettiva produzione) e le spese di pura sostituzione;</w:t>
      </w:r>
    </w:p>
    <w:p>
      <w:pPr>
        <w:pStyle w:val="ListParagraph"/>
        <w:widowControl/>
        <w:numPr>
          <w:ilvl w:val="0"/>
          <w:numId w:val="21"/>
        </w:numPr>
        <w:spacing w:before="0" w:after="120"/>
        <w:ind w:left="714" w:hanging="357"/>
        <w:contextualSpacing w:val="false"/>
        <w:jc w:val="both"/>
        <w:rPr>
          <w:rFonts w:cs="Times New Roman"/>
          <w:color w:val="000009"/>
        </w:rPr>
      </w:pPr>
      <w:r>
        <w:rPr>
          <w:rFonts w:cs="Times New Roman"/>
          <w:color w:val="000009"/>
        </w:rPr>
        <w:t>le spese relative a imposte e tasse, fatta eccezione per gli oneri doganali relativi ai beni ammissibili in quanto costi accessori dei beni stessi e, in quanto tali, capitalizzati;</w:t>
      </w:r>
    </w:p>
    <w:p>
      <w:pPr>
        <w:pStyle w:val="ListParagraph"/>
        <w:widowControl/>
        <w:numPr>
          <w:ilvl w:val="0"/>
          <w:numId w:val="21"/>
        </w:numPr>
        <w:spacing w:before="0" w:after="120"/>
        <w:ind w:left="714" w:hanging="357"/>
        <w:contextualSpacing w:val="false"/>
        <w:jc w:val="both"/>
        <w:rPr>
          <w:rFonts w:cs="Times New Roman"/>
          <w:color w:val="000009"/>
        </w:rPr>
      </w:pPr>
      <w:r>
        <w:rPr>
          <w:rFonts w:cs="Times New Roman"/>
          <w:color w:val="000009"/>
        </w:rPr>
        <w:t xml:space="preserve">le spese relative ai beni acquisiti con il sistema della locazione finanziaria o con la formula del contratto “chiavi in mano”; </w:t>
      </w:r>
    </w:p>
    <w:p>
      <w:pPr>
        <w:pStyle w:val="ListParagraph"/>
        <w:widowControl/>
        <w:numPr>
          <w:ilvl w:val="0"/>
          <w:numId w:val="21"/>
        </w:numPr>
        <w:spacing w:before="0" w:after="120"/>
        <w:ind w:left="714" w:hanging="357"/>
        <w:contextualSpacing w:val="false"/>
        <w:jc w:val="both"/>
        <w:rPr>
          <w:rFonts w:cs="Times New Roman"/>
          <w:color w:val="000009"/>
        </w:rPr>
      </w:pPr>
      <w:r>
        <w:rPr>
          <w:rFonts w:cs="Times New Roman"/>
          <w:color w:val="000009"/>
        </w:rPr>
        <w:t>le commesse interne di lavorazione;</w:t>
      </w:r>
    </w:p>
    <w:p>
      <w:pPr>
        <w:pStyle w:val="ListParagraph"/>
        <w:widowControl/>
        <w:numPr>
          <w:ilvl w:val="0"/>
          <w:numId w:val="21"/>
        </w:numPr>
        <w:spacing w:before="0" w:after="120"/>
        <w:ind w:left="714" w:hanging="357"/>
        <w:contextualSpacing w:val="false"/>
        <w:jc w:val="both"/>
        <w:rPr>
          <w:rFonts w:cs="Times New Roman"/>
          <w:color w:val="000009"/>
        </w:rPr>
      </w:pPr>
      <w:r>
        <w:rPr>
          <w:rFonts w:cs="Times New Roman"/>
          <w:color w:val="000009"/>
        </w:rPr>
        <w:t>l’auto-fatturazione;</w:t>
      </w:r>
    </w:p>
    <w:p>
      <w:pPr>
        <w:pStyle w:val="ListParagraph"/>
        <w:widowControl/>
        <w:numPr>
          <w:ilvl w:val="0"/>
          <w:numId w:val="21"/>
        </w:numPr>
        <w:spacing w:before="0" w:after="120"/>
        <w:ind w:left="714" w:hanging="357"/>
        <w:contextualSpacing w:val="false"/>
        <w:jc w:val="both"/>
        <w:rPr>
          <w:rFonts w:cs="Times New Roman"/>
          <w:color w:val="000009"/>
        </w:rPr>
      </w:pPr>
      <w:r>
        <w:rPr>
          <w:rFonts w:cs="Times New Roman"/>
          <w:color w:val="000009"/>
        </w:rPr>
        <w:t>le spese per servizi continuativi (come la consulenza fiscale ordinaria, i servizi regolari di consulenza legale);</w:t>
      </w:r>
    </w:p>
    <w:p>
      <w:pPr>
        <w:pStyle w:val="ListParagraph"/>
        <w:widowControl/>
        <w:numPr>
          <w:ilvl w:val="0"/>
          <w:numId w:val="21"/>
        </w:numPr>
        <w:spacing w:before="0" w:after="120"/>
        <w:ind w:left="714" w:hanging="357"/>
        <w:contextualSpacing w:val="false"/>
        <w:jc w:val="both"/>
        <w:rPr>
          <w:rFonts w:cs="Times New Roman"/>
          <w:color w:val="000009"/>
        </w:rPr>
      </w:pPr>
      <w:r>
        <w:rPr>
          <w:rFonts w:cs="Times New Roman"/>
          <w:color w:val="000009"/>
        </w:rPr>
        <w:t>le spese relative all’acquisto di beni o servizi di proprietà di uno o più soci/associati del soggetto richiedente gli aiuti o di parenti o affini, entro il terzo grado del richiedente o da imprese partecipate da soci/associati dello stesso richiedente o di parenti o affini entro il terzo grado del richiedente;</w:t>
      </w:r>
    </w:p>
    <w:p>
      <w:pPr>
        <w:pStyle w:val="ListParagraph"/>
        <w:widowControl/>
        <w:numPr>
          <w:ilvl w:val="0"/>
          <w:numId w:val="21"/>
        </w:numPr>
        <w:spacing w:before="0" w:after="120"/>
        <w:ind w:left="714" w:hanging="357"/>
        <w:contextualSpacing w:val="false"/>
        <w:jc w:val="both"/>
        <w:rPr>
          <w:rFonts w:cs="Times New Roman"/>
          <w:color w:val="000009"/>
        </w:rPr>
      </w:pPr>
      <w:r>
        <w:rPr>
          <w:rFonts w:cs="Times New Roman"/>
          <w:color w:val="000009"/>
        </w:rPr>
        <w:t>le spese relative a forniture, opere e servizi erogate da persone fisiche o giuridiche collegate, a qualunque titolo, diretto o indiretto, con il richiedente, anche ai sensi dell’art. 2359 del codice civile;</w:t>
      </w:r>
    </w:p>
    <w:p>
      <w:pPr>
        <w:pStyle w:val="ListParagraph"/>
        <w:widowControl/>
        <w:numPr>
          <w:ilvl w:val="0"/>
          <w:numId w:val="21"/>
        </w:numPr>
        <w:spacing w:before="0" w:after="120"/>
        <w:ind w:left="714" w:hanging="357"/>
        <w:contextualSpacing w:val="false"/>
        <w:jc w:val="both"/>
        <w:rPr>
          <w:rFonts w:cs="Times New Roman"/>
          <w:color w:val="000009"/>
        </w:rPr>
      </w:pPr>
      <w:r>
        <w:rPr>
          <w:rFonts w:cs="Times New Roman"/>
          <w:color w:val="000009"/>
        </w:rPr>
        <w:t>le spese per consulenze specialistiche di amministratori, soci e dipendenti del soggetto beneficiario dell’agevolazione nonché di eventuali partner, sia nazionali che esteri;</w:t>
      </w:r>
    </w:p>
    <w:p>
      <w:pPr>
        <w:pStyle w:val="ListParagraph"/>
        <w:widowControl/>
        <w:numPr>
          <w:ilvl w:val="0"/>
          <w:numId w:val="21"/>
        </w:numPr>
        <w:spacing w:before="0" w:after="120"/>
        <w:ind w:left="714" w:hanging="357"/>
        <w:contextualSpacing w:val="false"/>
        <w:jc w:val="both"/>
        <w:rPr>
          <w:rFonts w:cs="Times New Roman"/>
          <w:color w:val="000009"/>
        </w:rPr>
      </w:pPr>
      <w:r>
        <w:rPr>
          <w:rFonts w:cs="Times New Roman"/>
          <w:color w:val="000009"/>
        </w:rPr>
        <w:t>i costi diretti dell’Ente di certificazione (es. spese per la verifica ed i controlli periodici);</w:t>
      </w:r>
    </w:p>
    <w:p>
      <w:pPr>
        <w:pStyle w:val="ListParagraph"/>
        <w:widowControl/>
        <w:numPr>
          <w:ilvl w:val="0"/>
          <w:numId w:val="21"/>
        </w:numPr>
        <w:spacing w:before="0" w:after="120"/>
        <w:ind w:left="714" w:hanging="357"/>
        <w:contextualSpacing w:val="false"/>
        <w:jc w:val="both"/>
        <w:rPr>
          <w:rFonts w:cs="Times New Roman"/>
          <w:color w:val="000009"/>
        </w:rPr>
      </w:pPr>
      <w:r>
        <w:rPr>
          <w:rFonts w:cs="Times New Roman"/>
          <w:color w:val="000009"/>
        </w:rPr>
        <w:t>i contributi in natura;</w:t>
      </w:r>
    </w:p>
    <w:p>
      <w:pPr>
        <w:pStyle w:val="ListParagraph"/>
        <w:widowControl/>
        <w:numPr>
          <w:ilvl w:val="0"/>
          <w:numId w:val="21"/>
        </w:numPr>
        <w:spacing w:before="0" w:after="120"/>
        <w:ind w:left="714" w:hanging="357"/>
        <w:contextualSpacing w:val="false"/>
        <w:jc w:val="both"/>
        <w:rPr>
          <w:rFonts w:cs="Times New Roman"/>
          <w:color w:val="000009"/>
        </w:rPr>
      </w:pPr>
      <w:r>
        <w:rPr>
          <w:rFonts w:cs="Times New Roman"/>
          <w:color w:val="000009"/>
        </w:rPr>
        <w:t xml:space="preserve">spese per smartphone ed altri beni che, per loro natura, si prestino ad un uso straordinario al di fuori dell’attività economica nel cui ambito deve essere realizzato il progetto agevolato; </w:t>
      </w:r>
    </w:p>
    <w:p>
      <w:pPr>
        <w:pStyle w:val="ListParagraph"/>
        <w:widowControl/>
        <w:numPr>
          <w:ilvl w:val="0"/>
          <w:numId w:val="21"/>
        </w:numPr>
        <w:spacing w:before="0" w:after="120"/>
        <w:ind w:left="714" w:hanging="357"/>
        <w:contextualSpacing w:val="false"/>
        <w:jc w:val="both"/>
        <w:rPr>
          <w:rFonts w:cs="Times New Roman"/>
          <w:color w:val="000009"/>
        </w:rPr>
      </w:pPr>
      <w:r>
        <w:rPr>
          <w:rFonts w:cs="Times New Roman"/>
          <w:color w:val="000009"/>
        </w:rPr>
        <w:t>i costi per il mantenimento delle certificazioni;</w:t>
      </w:r>
    </w:p>
    <w:p>
      <w:pPr>
        <w:pStyle w:val="ListParagraph"/>
        <w:widowControl/>
        <w:numPr>
          <w:ilvl w:val="0"/>
          <w:numId w:val="21"/>
        </w:numPr>
        <w:spacing w:before="0" w:after="120"/>
        <w:ind w:left="714" w:hanging="357"/>
        <w:contextualSpacing w:val="false"/>
        <w:jc w:val="both"/>
        <w:rPr>
          <w:rFonts w:cs="Times New Roman"/>
          <w:color w:val="000009"/>
        </w:rPr>
      </w:pPr>
      <w:r>
        <w:rPr>
          <w:rFonts w:cs="Times New Roman"/>
          <w:color w:val="000009"/>
        </w:rPr>
        <w:t>nel caso di spese effettuate per interventi di efficientamento energetico, non sono ammissibili gli impianti per la produzione di energia;</w:t>
      </w:r>
    </w:p>
    <w:p>
      <w:pPr>
        <w:pStyle w:val="ListParagraph"/>
        <w:widowControl/>
        <w:numPr>
          <w:ilvl w:val="0"/>
          <w:numId w:val="21"/>
        </w:numPr>
        <w:spacing w:before="0" w:after="120"/>
        <w:ind w:left="714" w:hanging="357"/>
        <w:contextualSpacing w:val="false"/>
        <w:jc w:val="both"/>
        <w:rPr>
          <w:rFonts w:cs="Times New Roman"/>
          <w:color w:val="000009"/>
        </w:rPr>
      </w:pPr>
      <w:r>
        <w:rPr>
          <w:rFonts w:cs="Times New Roman"/>
          <w:color w:val="000009"/>
        </w:rPr>
        <w:t>i titoli di spesa di importo inferiore a 500,00 € (cinquecento euro), IVA inclusa.</w:t>
      </w:r>
    </w:p>
    <w:p>
      <w:pPr>
        <w:pStyle w:val="ListParagraph"/>
        <w:spacing w:before="0" w:after="0"/>
        <w:ind w:left="0" w:hanging="0"/>
        <w:contextualSpacing w:val="false"/>
        <w:jc w:val="both"/>
        <w:rPr>
          <w:rFonts w:cs="Times New Roman"/>
          <w:color w:val="000009"/>
        </w:rPr>
      </w:pPr>
      <w:r>
        <w:rPr>
          <w:rFonts w:cs="Times New Roman"/>
          <w:color w:val="000009"/>
        </w:rPr>
      </w:r>
    </w:p>
    <w:p>
      <w:pPr>
        <w:pStyle w:val="Titolo2"/>
        <w:widowControl/>
        <w:numPr>
          <w:ilvl w:val="1"/>
          <w:numId w:val="5"/>
        </w:numPr>
        <w:tabs>
          <w:tab w:val="clear" w:pos="720"/>
          <w:tab w:val="left" w:pos="619" w:leader="none"/>
        </w:tabs>
        <w:spacing w:before="0" w:after="120"/>
        <w:ind w:left="357" w:hanging="357"/>
        <w:jc w:val="both"/>
        <w:rPr>
          <w:rFonts w:ascii="Titillium Web" w:hAnsi="Titillium Web" w:cs="Times New Roman"/>
          <w:b/>
          <w:b/>
          <w:bCs/>
          <w:color w:val="auto"/>
          <w:sz w:val="24"/>
          <w:szCs w:val="24"/>
        </w:rPr>
      </w:pPr>
      <w:r>
        <w:rPr>
          <w:rFonts w:cs="Times New Roman" w:ascii="Titillium Web" w:hAnsi="Titillium Web"/>
          <w:b/>
          <w:bCs/>
          <w:color w:val="auto"/>
          <w:sz w:val="24"/>
          <w:szCs w:val="24"/>
        </w:rPr>
        <w:t>Verifica del principio DNSH</w:t>
      </w:r>
    </w:p>
    <w:p>
      <w:pPr>
        <w:pStyle w:val="Normal"/>
        <w:spacing w:before="0" w:after="120"/>
        <w:jc w:val="both"/>
        <w:rPr>
          <w:rFonts w:cs="Times New Roman"/>
          <w:color w:val="000009"/>
        </w:rPr>
      </w:pPr>
      <w:r>
        <w:rPr>
          <w:rFonts w:cs="Times New Roman"/>
          <w:color w:val="000009"/>
        </w:rPr>
        <w:t xml:space="preserve">Il presente Avviso si ispira al principio del “non arrecare danno significativo (cd. “Do No Significant Harm” - DNSH), secondo il quale nessuna misura finanziata deve arrecare danno agli obiettivi ambientali e ostacolare la mitigazione dei cambiamenti climatici, in coerenza con l'art. 17 del Regolamento (UE) 2020/852 e al principio del contributo all’obiettivo climatico e digitale (cd. Tagging), teso al conseguimento e perseguimento degli obiettivi climatici e della transizione digitale.” Sulla base della “Mappatura di correlazione fra investimenti. </w:t>
      </w:r>
    </w:p>
    <w:p>
      <w:pPr>
        <w:pStyle w:val="Normal"/>
        <w:spacing w:before="0" w:after="120"/>
        <w:jc w:val="both"/>
        <w:rPr>
          <w:rFonts w:cs="Times New Roman"/>
          <w:color w:val="000009"/>
        </w:rPr>
      </w:pPr>
      <w:r>
        <w:rPr>
          <w:rFonts w:cs="Times New Roman"/>
          <w:color w:val="000009"/>
        </w:rPr>
        <w:t>L’applicazione del Principio DNSH potrà avvenire attraverso l’adozione delle seguenti prescrizioni riportate:</w:t>
      </w:r>
    </w:p>
    <w:p>
      <w:pPr>
        <w:pStyle w:val="Normal"/>
        <w:widowControl/>
        <w:numPr>
          <w:ilvl w:val="0"/>
          <w:numId w:val="52"/>
        </w:numPr>
        <w:spacing w:before="0" w:after="120"/>
        <w:ind w:left="714" w:hanging="357"/>
        <w:jc w:val="both"/>
        <w:rPr>
          <w:rFonts w:cs="Times New Roman"/>
          <w:color w:val="000009"/>
        </w:rPr>
      </w:pPr>
      <w:r>
        <w:rPr>
          <w:rFonts w:cs="Times New Roman"/>
          <w:color w:val="000009"/>
        </w:rPr>
        <w:t xml:space="preserve">per quanto attiene all’obiettivo ambientale Mitigazione dei cambiamenti climatici in caso di start up e in caso di acquisto di nuovi macchinari e attrezzature, attraverso criteri di selezione e opportuni criteri di premialità, si indirizzerà la scelta verso soluzioni il più possibile efficienti dal punto di vista energetico (MTD), a parità di funzioni; </w:t>
      </w:r>
    </w:p>
    <w:p>
      <w:pPr>
        <w:pStyle w:val="Normal"/>
        <w:widowControl/>
        <w:numPr>
          <w:ilvl w:val="0"/>
          <w:numId w:val="52"/>
        </w:numPr>
        <w:spacing w:before="0" w:after="120"/>
        <w:ind w:left="714" w:hanging="357"/>
        <w:jc w:val="both"/>
        <w:rPr>
          <w:rFonts w:cs="Times New Roman"/>
          <w:color w:val="000009"/>
        </w:rPr>
      </w:pPr>
      <w:r>
        <w:rPr>
          <w:rFonts w:cs="Times New Roman"/>
          <w:color w:val="000009"/>
        </w:rPr>
        <w:t xml:space="preserve">per quanto attiene all’obiettivo “Adattamento ai cambiamenti climatici” l'azione ha un impatto prevedibile nullo o trascurabile sull'obiettivo ambientale connesso agli effetti diretti e agli effetti indiretti primari della misura nel corso del suo ciclo di vita, data la sua natura, e in quanto tale è considerata conforme al principio DNSH per il pertinente obiettivo; </w:t>
      </w:r>
    </w:p>
    <w:p>
      <w:pPr>
        <w:pStyle w:val="Normal"/>
        <w:widowControl/>
        <w:numPr>
          <w:ilvl w:val="0"/>
          <w:numId w:val="52"/>
        </w:numPr>
        <w:spacing w:before="0" w:after="120"/>
        <w:ind w:left="714" w:hanging="357"/>
        <w:jc w:val="both"/>
        <w:rPr>
          <w:rFonts w:cs="Times New Roman"/>
          <w:color w:val="000009"/>
        </w:rPr>
      </w:pPr>
      <w:r>
        <w:rPr>
          <w:rFonts w:cs="Times New Roman"/>
          <w:color w:val="000009"/>
        </w:rPr>
        <w:t xml:space="preserve">per quanto attiene all’obiettivo “Economia circolare compresi la prevenzione e il riciclaggio dei rifiuti”, è possibile minimizzare le inefficienze, ad esempio, con un sensibile aumento della durabilità, della riparabilità, della possibilità di miglioramento e della riutilizzabilità dei prodotti o con una considerevole riduzione delle risorse mediante la progettazione e la scelta dei materiali, l’agevolazione del cambio di destinazione, dello smontaggio e dello smantellamento, in particolare per ridurre l’uso dei materiali da costruzione e promuoverne il riutilizzo. A questo si aggiungono: la transizione verso modelli aziendali del tipo «prodotto- come-servizio» e catene di valore circolari, allo scopo di mantenere ai massimi livelli l’utilità e il valore dei prodotti, dei componenti e dei materiali il più a lungo possibile; una riduzione sostanziale del contenuto di sostanze pericolose nei materiali e nei prodotti, anche rimpiazzandole con alternative più sicure; una riduzione sostanziale dei rifiuti alimentari nella produzione, nella trasformazione, nella fabbricazione o nella distribuzione di cibo. Inoltre ai sensi del regolamento Tassonomia, l’obiettivo ambientale della transizione verso un’economia circolare dovrebbe essere interpretato in conformità del pertinente diritto dell’Unione in materia di economia circolare, rifiuti e sostanze chimiche, compresi i regolamenti (CE) n. 1013/20066, (CE) n. 1907/20067 e (UE) 2019/10218 del Parlamento europeo e del Consiglio e le 9, 2000/53/CE10, 2006/66/CE11, 2008/98/CE12, 2010/75/UE13, 2011/65/UE14, 2012/19/UE15, (UE) 2019/88316 e (UE) 2019/90417 del Parlamento europeo e del Consiglio, la direttiva 1999/31/CE del Consiglio18, il regolamento (UE) n. 1357/2014 della Commissione19 e le decisioni 2000/532/CE20 e 2014/955/UE21 della Commissione, nonché le comunicazioni della Commissione del 2 dicembre 2015 «L’anello mancante — Piano d’azione dell’Unione europea per l’economia circolare» e del 16 gennaio 2018 «Strategia europea per la plastica nell’economia circolare»; </w:t>
      </w:r>
    </w:p>
    <w:p>
      <w:pPr>
        <w:pStyle w:val="Normal"/>
        <w:widowControl/>
        <w:numPr>
          <w:ilvl w:val="0"/>
          <w:numId w:val="52"/>
        </w:numPr>
        <w:spacing w:before="0" w:after="120"/>
        <w:ind w:left="714" w:hanging="357"/>
        <w:jc w:val="both"/>
        <w:rPr>
          <w:rFonts w:cs="Times New Roman"/>
          <w:color w:val="000009"/>
        </w:rPr>
      </w:pPr>
      <w:r>
        <w:rPr>
          <w:rFonts w:cs="Times New Roman"/>
          <w:color w:val="000009"/>
        </w:rPr>
        <w:t xml:space="preserve">per quanto attiene all’obiettivo “Prevenzione e riduzione dell'inquinamento dell'aria, dell'acqua e del suolo” gli interventi devono avere tra le finalità quella di sostenere la transizione delle imprese verso modelli sostenibili e circolari, agendo sul miglioramento dell’efficienza nell’uso delle risorse, lo sviluppo di modelli innovativi, nell’ottica del miglioramento delle prestazioni ambientali, oltre a percorsi per l’adozione di sistemi di gestione ambientale; </w:t>
      </w:r>
    </w:p>
    <w:p>
      <w:pPr>
        <w:pStyle w:val="Normal"/>
        <w:widowControl/>
        <w:numPr>
          <w:ilvl w:val="0"/>
          <w:numId w:val="53"/>
        </w:numPr>
        <w:spacing w:before="0" w:after="120"/>
        <w:ind w:left="714" w:hanging="357"/>
        <w:jc w:val="both"/>
        <w:rPr>
          <w:rFonts w:cs="Times New Roman"/>
          <w:color w:val="000009"/>
        </w:rPr>
      </w:pPr>
      <w:r>
        <w:rPr>
          <w:rFonts w:cs="Times New Roman"/>
          <w:color w:val="000009"/>
        </w:rPr>
        <w:t>per quanto attiene all’obiettivo “Protezione e ripristino della biodiversità e degli ecosistemi, relativamente alle misure di sostegno alle PMI per la valorizzazione turistica del patrimonio naturale, qualora si verifichino potenziali interferenze con i Siti della Rete Natura 2000”, si dovranno adottare tutte le misure precauzionali previste dalla normativa, quali la valutazione di incidenza che garantisca la conformità rispetto ai Piani di gestione dei Siti e, ove opportuno, la verifica di conformità rispetto ai Piani dei Parchi, ecc.</w:t>
      </w:r>
    </w:p>
    <w:p>
      <w:pPr>
        <w:pStyle w:val="Normal"/>
        <w:spacing w:before="0" w:after="120"/>
        <w:jc w:val="both"/>
        <w:rPr>
          <w:rFonts w:cs="Times New Roman"/>
          <w:color w:val="000009"/>
        </w:rPr>
      </w:pPr>
      <w:r>
        <w:rPr>
          <w:rFonts w:cs="Times New Roman"/>
          <w:color w:val="000009"/>
        </w:rPr>
        <w:t>Si applicano, inoltre, nei casi pertinenti le prescrizioni delle Schede allegate alla Guida operativa per il rispetto del DNSH, “Circolare MISE - RGS n. 22 del 14 maggio 2022”. In base agli investimenti previsti dall’intervento, si riportano, a titolo non esaustivo, le Schede allegate alla Guida operativa per il rispetto del DNSH che presentano maggiore compatibilità:</w:t>
      </w:r>
    </w:p>
    <w:p>
      <w:pPr>
        <w:pStyle w:val="Normal"/>
        <w:widowControl/>
        <w:numPr>
          <w:ilvl w:val="0"/>
          <w:numId w:val="54"/>
        </w:numPr>
        <w:spacing w:before="0" w:after="120"/>
        <w:ind w:left="714" w:hanging="357"/>
        <w:jc w:val="both"/>
        <w:rPr>
          <w:rFonts w:cs="Times New Roman"/>
          <w:color w:val="000009"/>
        </w:rPr>
      </w:pPr>
      <w:r>
        <w:rPr>
          <w:rFonts w:cs="Times New Roman"/>
          <w:color w:val="000009"/>
        </w:rPr>
        <w:t>Scheda 2: Ristrutturazioni e riqualificazioni di edifici residenziali e non residenziali;</w:t>
      </w:r>
    </w:p>
    <w:p>
      <w:pPr>
        <w:pStyle w:val="Normal"/>
        <w:widowControl/>
        <w:numPr>
          <w:ilvl w:val="0"/>
          <w:numId w:val="54"/>
        </w:numPr>
        <w:spacing w:before="0" w:after="120"/>
        <w:ind w:left="714" w:hanging="357"/>
        <w:jc w:val="both"/>
        <w:rPr>
          <w:rFonts w:cs="Times New Roman"/>
          <w:color w:val="000009"/>
        </w:rPr>
      </w:pPr>
      <w:r>
        <w:rPr>
          <w:rFonts w:cs="Times New Roman"/>
          <w:color w:val="000009"/>
        </w:rPr>
        <w:t xml:space="preserve">Scheda 3: Acquisto, Leasing e Noleggio di computer e apparecchiature elettriche ed elettroniche; </w:t>
      </w:r>
    </w:p>
    <w:p>
      <w:pPr>
        <w:pStyle w:val="Normal"/>
        <w:widowControl/>
        <w:numPr>
          <w:ilvl w:val="0"/>
          <w:numId w:val="54"/>
        </w:numPr>
        <w:spacing w:before="0" w:after="120"/>
        <w:ind w:left="714" w:hanging="357"/>
        <w:jc w:val="both"/>
        <w:rPr>
          <w:rFonts w:cs="Times New Roman"/>
          <w:color w:val="000009"/>
        </w:rPr>
      </w:pPr>
      <w:r>
        <w:rPr>
          <w:rFonts w:cs="Times New Roman"/>
          <w:color w:val="000009"/>
        </w:rPr>
        <w:t>Scheda 5: Interventi edili e cantieristica generica non connessi con la costruzione/rinnovamento di edifici;</w:t>
      </w:r>
    </w:p>
    <w:p>
      <w:pPr>
        <w:pStyle w:val="Normal"/>
        <w:widowControl/>
        <w:numPr>
          <w:ilvl w:val="0"/>
          <w:numId w:val="54"/>
        </w:numPr>
        <w:spacing w:before="0" w:after="120"/>
        <w:ind w:left="714" w:hanging="357"/>
        <w:jc w:val="both"/>
        <w:rPr>
          <w:rFonts w:cs="Times New Roman"/>
          <w:color w:val="000009"/>
        </w:rPr>
      </w:pPr>
      <w:r>
        <w:rPr>
          <w:rFonts w:cs="Times New Roman"/>
          <w:color w:val="000009"/>
        </w:rPr>
        <w:t xml:space="preserve">Scheda 9: Acquisto, noleggio, leasing di veicoli; </w:t>
      </w:r>
    </w:p>
    <w:p>
      <w:pPr>
        <w:pStyle w:val="Normal"/>
        <w:widowControl/>
        <w:numPr>
          <w:ilvl w:val="0"/>
          <w:numId w:val="54"/>
        </w:numPr>
        <w:spacing w:before="0" w:after="120"/>
        <w:ind w:left="714" w:hanging="357"/>
        <w:jc w:val="both"/>
        <w:rPr>
          <w:rFonts w:cs="Times New Roman"/>
          <w:color w:val="000009"/>
        </w:rPr>
      </w:pPr>
      <w:r>
        <w:rPr>
          <w:rFonts w:cs="Times New Roman"/>
          <w:color w:val="000009"/>
        </w:rPr>
        <w:t>Scheda 12: Produzione elettricità da pannelli solari;</w:t>
      </w:r>
    </w:p>
    <w:p>
      <w:pPr>
        <w:pStyle w:val="Normal"/>
        <w:widowControl/>
        <w:numPr>
          <w:ilvl w:val="0"/>
          <w:numId w:val="54"/>
        </w:numPr>
        <w:spacing w:before="0" w:after="120"/>
        <w:ind w:left="714" w:hanging="357"/>
        <w:jc w:val="both"/>
        <w:rPr>
          <w:rFonts w:cs="Times New Roman"/>
          <w:color w:val="000009"/>
        </w:rPr>
      </w:pPr>
      <w:r>
        <w:rPr>
          <w:rFonts w:cs="Times New Roman"/>
          <w:color w:val="000009"/>
        </w:rPr>
        <w:t xml:space="preserve">Scheda 21: Realizzazione impianti distribuzione del teleriscaldamento/teleraffrescamento. </w:t>
      </w:r>
    </w:p>
    <w:p>
      <w:pPr>
        <w:pStyle w:val="Normal"/>
        <w:jc w:val="both"/>
        <w:rPr>
          <w:rFonts w:cs="Times New Roman"/>
          <w:color w:val="000009"/>
        </w:rPr>
      </w:pPr>
      <w:r>
        <w:rPr>
          <w:rFonts w:cs="Times New Roman"/>
          <w:color w:val="000009"/>
        </w:rPr>
      </w:r>
    </w:p>
    <w:p>
      <w:pPr>
        <w:pStyle w:val="Titolo2"/>
        <w:widowControl/>
        <w:numPr>
          <w:ilvl w:val="1"/>
          <w:numId w:val="5"/>
        </w:numPr>
        <w:tabs>
          <w:tab w:val="clear" w:pos="720"/>
          <w:tab w:val="left" w:pos="619" w:leader="none"/>
        </w:tabs>
        <w:spacing w:before="0" w:after="120"/>
        <w:ind w:left="357" w:hanging="357"/>
        <w:jc w:val="both"/>
        <w:rPr>
          <w:rFonts w:ascii="Titillium Web" w:hAnsi="Titillium Web" w:cs="Times New Roman"/>
          <w:b/>
          <w:b/>
          <w:bCs/>
          <w:color w:val="auto"/>
          <w:sz w:val="24"/>
          <w:szCs w:val="24"/>
        </w:rPr>
      </w:pPr>
      <w:bookmarkStart w:id="58" w:name="_Toc215218254"/>
      <w:bookmarkStart w:id="59" w:name="_Toc214529859"/>
      <w:r>
        <w:rPr>
          <w:rFonts w:cs="Times New Roman" w:ascii="Titillium Web" w:hAnsi="Titillium Web"/>
          <w:b/>
          <w:bCs/>
          <w:color w:val="auto"/>
          <w:sz w:val="24"/>
          <w:szCs w:val="24"/>
        </w:rPr>
        <w:t>Forma ed intensità del contributo</w:t>
      </w:r>
      <w:bookmarkEnd w:id="58"/>
      <w:bookmarkEnd w:id="59"/>
    </w:p>
    <w:p>
      <w:pPr>
        <w:pStyle w:val="ListParagraph"/>
        <w:widowControl/>
        <w:numPr>
          <w:ilvl w:val="0"/>
          <w:numId w:val="22"/>
        </w:numPr>
        <w:spacing w:before="0" w:after="120"/>
        <w:ind w:left="357" w:hanging="357"/>
        <w:contextualSpacing w:val="false"/>
        <w:jc w:val="both"/>
        <w:rPr>
          <w:rFonts w:cs="Times New Roman"/>
          <w:color w:val="000009"/>
        </w:rPr>
      </w:pPr>
      <w:r>
        <w:rPr>
          <w:rFonts w:cs="Times New Roman"/>
          <w:color w:val="000009"/>
        </w:rPr>
        <w:t>Gli aiuti di cui al presente Avviso sono concessi, nella forma di contributo in conto capitale, a valere sul Regolamento (UE) 2023/2831 della Commissione, del 13 dicembre 2023, relativo all’applicazione degli articoli 107 e 108 del trattato sul funzionamento dell’Unione europea agli aiuti de minimis.</w:t>
      </w:r>
    </w:p>
    <w:p>
      <w:pPr>
        <w:pStyle w:val="ListParagraph"/>
        <w:widowControl/>
        <w:numPr>
          <w:ilvl w:val="0"/>
          <w:numId w:val="22"/>
        </w:numPr>
        <w:spacing w:before="0" w:after="120"/>
        <w:ind w:left="357" w:hanging="357"/>
        <w:contextualSpacing w:val="false"/>
        <w:jc w:val="both"/>
        <w:rPr>
          <w:rFonts w:cs="Times New Roman"/>
          <w:color w:val="000009"/>
        </w:rPr>
      </w:pPr>
      <w:r>
        <w:rPr>
          <w:rFonts w:cs="Times New Roman"/>
          <w:color w:val="000009"/>
        </w:rPr>
        <w:t xml:space="preserve">Gli importi e le intensità di aiuto per ciascuna Operazione prevista dal presente Avviso sono indicati nel par. 3.3 e nell’Appendice (Allegato F). </w:t>
      </w:r>
    </w:p>
    <w:p>
      <w:pPr>
        <w:pStyle w:val="ListParagraph"/>
        <w:widowControl/>
        <w:numPr>
          <w:ilvl w:val="0"/>
          <w:numId w:val="22"/>
        </w:numPr>
        <w:spacing w:before="0" w:after="120"/>
        <w:ind w:left="357" w:hanging="357"/>
        <w:contextualSpacing w:val="false"/>
        <w:jc w:val="both"/>
        <w:rPr>
          <w:rFonts w:cs="Times New Roman"/>
          <w:color w:val="000009"/>
        </w:rPr>
      </w:pPr>
      <w:r>
        <w:rPr>
          <w:rFonts w:cs="Times New Roman"/>
          <w:color w:val="000009"/>
        </w:rPr>
        <w:t>L'ammontare delle agevolazioni calcolato in via provvisoria viene rideterminato a conclusione dell’intervento, sulla base delle spese ammissibili effettivamente sostenute e della verifica relativa al rispetto dei massimali di aiuto previsti dalla disciplina comunitaria. L'ammontare delle agevolazioni così definitivamente determinato non può in alcun modo essere superiore a quello individuato in via provvisoria.</w:t>
      </w:r>
    </w:p>
    <w:p>
      <w:pPr>
        <w:pStyle w:val="ListParagraph"/>
        <w:widowControl/>
        <w:numPr>
          <w:ilvl w:val="0"/>
          <w:numId w:val="22"/>
        </w:numPr>
        <w:spacing w:before="0" w:after="120"/>
        <w:ind w:left="357" w:hanging="357"/>
        <w:contextualSpacing w:val="false"/>
        <w:jc w:val="both"/>
        <w:rPr>
          <w:rFonts w:cs="Times New Roman"/>
          <w:color w:val="000009"/>
        </w:rPr>
      </w:pPr>
      <w:r>
        <w:rPr>
          <w:rFonts w:cs="Times New Roman"/>
          <w:color w:val="000009"/>
        </w:rPr>
        <w:t xml:space="preserve">Le agevolazioni sono concesse a titolo di de minimis in osservanza del Regolamento (UE) n. 2023/2831, in applicazione del quale l'importo complessivo dell'agevolazione concessa non potrà eccedere su un periodo di tre esercizi finanziari il massimale di 300.000,00 euro. Ai fini della verifica del rispetto della soglia si fa riferimento al concetto di “impresa unica” </w:t>
      </w:r>
      <w:r>
        <w:rPr>
          <w:rStyle w:val="Richiamoallanotaapidipagina"/>
        </w:rPr>
        <w:footnoteReference w:id="2"/>
      </w:r>
      <w:r>
        <w:rPr>
          <w:rFonts w:cs="Times New Roman"/>
          <w:color w:val="000009"/>
        </w:rPr>
        <w:t>ai sensi dell’art. 2, par. 2, Reg. (UE) n. 2023/2831.</w:t>
      </w:r>
    </w:p>
    <w:p>
      <w:pPr>
        <w:pStyle w:val="Normal"/>
        <w:jc w:val="both"/>
        <w:rPr>
          <w:rFonts w:cs="Times New Roman"/>
          <w:color w:val="000009"/>
        </w:rPr>
      </w:pPr>
      <w:r>
        <w:rPr>
          <w:rFonts w:cs="Times New Roman"/>
          <w:color w:val="000009"/>
        </w:rPr>
      </w:r>
    </w:p>
    <w:p>
      <w:pPr>
        <w:pStyle w:val="Titolo2"/>
        <w:widowControl/>
        <w:numPr>
          <w:ilvl w:val="1"/>
          <w:numId w:val="5"/>
        </w:numPr>
        <w:tabs>
          <w:tab w:val="clear" w:pos="720"/>
          <w:tab w:val="left" w:pos="616" w:leader="none"/>
        </w:tabs>
        <w:spacing w:before="0" w:after="120"/>
        <w:ind w:left="357" w:hanging="357"/>
        <w:jc w:val="both"/>
        <w:rPr>
          <w:rFonts w:ascii="Aptos" w:hAnsi="Aptos" w:cs="Times New Roman"/>
          <w:b/>
          <w:b/>
          <w:bCs/>
          <w:color w:val="auto"/>
          <w:sz w:val="24"/>
          <w:szCs w:val="24"/>
        </w:rPr>
      </w:pPr>
      <w:bookmarkStart w:id="60" w:name="_Toc215218255"/>
      <w:bookmarkStart w:id="61" w:name="_Toc214529860"/>
      <w:r>
        <w:rPr>
          <w:rFonts w:cs="Times New Roman" w:ascii="Aptos" w:hAnsi="Aptos"/>
          <w:b/>
          <w:bCs/>
          <w:color w:val="auto"/>
          <w:sz w:val="24"/>
          <w:szCs w:val="24"/>
        </w:rPr>
        <w:t>Cumulo</w:t>
      </w:r>
      <w:bookmarkEnd w:id="60"/>
      <w:bookmarkEnd w:id="61"/>
    </w:p>
    <w:p>
      <w:pPr>
        <w:pStyle w:val="Normal"/>
        <w:spacing w:before="0" w:after="120"/>
        <w:jc w:val="both"/>
        <w:rPr>
          <w:rFonts w:cs="Times New Roman"/>
          <w:color w:val="000009"/>
        </w:rPr>
      </w:pPr>
      <w:r>
        <w:rPr>
          <w:rFonts w:cs="Times New Roman"/>
          <w:color w:val="000009"/>
        </w:rPr>
        <w:t>Il Contributo è cumulabile con altri aiuti di Stato, in relazione agli stessi costi ammissibili, in tutto o in parte coincidenti, unicamente se tale cumulo non porta al superamento dell'intensità di aiuto o dell'importo di aiuto più elevati fissati, per le specifiche circostanze di ogni caso, in base al Regolamento (UE) n. 2023/2831.</w:t>
      </w:r>
    </w:p>
    <w:p>
      <w:pPr>
        <w:pStyle w:val="Titolo2"/>
        <w:tabs>
          <w:tab w:val="clear" w:pos="720"/>
          <w:tab w:val="left" w:pos="616" w:leader="none"/>
        </w:tabs>
        <w:spacing w:before="0" w:after="0"/>
        <w:jc w:val="both"/>
        <w:rPr>
          <w:rFonts w:ascii="Aptos" w:hAnsi="Aptos" w:cs="Times New Roman"/>
          <w:b/>
          <w:b/>
          <w:bCs/>
          <w:color w:val="auto"/>
          <w:spacing w:val="-2"/>
          <w:sz w:val="22"/>
          <w:szCs w:val="22"/>
        </w:rPr>
      </w:pPr>
      <w:r>
        <w:rPr>
          <w:rFonts w:cs="Times New Roman" w:ascii="Aptos" w:hAnsi="Aptos"/>
          <w:b/>
          <w:bCs/>
          <w:color w:val="auto"/>
          <w:spacing w:val="-2"/>
          <w:sz w:val="22"/>
          <w:szCs w:val="22"/>
        </w:rPr>
      </w:r>
    </w:p>
    <w:p>
      <w:pPr>
        <w:pStyle w:val="Titolo2"/>
        <w:tabs>
          <w:tab w:val="clear" w:pos="720"/>
          <w:tab w:val="left" w:pos="616" w:leader="none"/>
        </w:tabs>
        <w:spacing w:before="0" w:after="120"/>
        <w:jc w:val="both"/>
        <w:rPr>
          <w:rFonts w:ascii="Aptos" w:hAnsi="Aptos" w:cs="Times New Roman"/>
          <w:b/>
          <w:b/>
          <w:bCs/>
          <w:color w:val="auto"/>
          <w:sz w:val="28"/>
          <w:szCs w:val="28"/>
        </w:rPr>
      </w:pPr>
      <w:r>
        <w:rPr>
          <w:rFonts w:cs="Times New Roman" w:ascii="Aptos" w:hAnsi="Aptos"/>
          <w:b/>
          <w:bCs/>
          <w:color w:val="auto"/>
          <w:spacing w:val="-2"/>
          <w:sz w:val="28"/>
          <w:szCs w:val="28"/>
        </w:rPr>
        <w:t xml:space="preserve">4. </w:t>
      </w:r>
      <w:bookmarkStart w:id="62" w:name="_Toc215218256"/>
      <w:bookmarkStart w:id="63" w:name="_Toc214529861"/>
      <w:r>
        <w:rPr>
          <w:rFonts w:cs="Times New Roman" w:ascii="Aptos" w:hAnsi="Aptos"/>
          <w:b/>
          <w:bCs/>
          <w:color w:val="auto"/>
          <w:spacing w:val="-2"/>
          <w:sz w:val="28"/>
          <w:szCs w:val="28"/>
        </w:rPr>
        <w:t>Procedure</w:t>
      </w:r>
      <w:bookmarkEnd w:id="62"/>
      <w:bookmarkEnd w:id="63"/>
    </w:p>
    <w:p>
      <w:pPr>
        <w:pStyle w:val="Normal"/>
        <w:jc w:val="both"/>
        <w:rPr>
          <w:rFonts w:cs="Times New Roman"/>
          <w:color w:val="000009"/>
        </w:rPr>
      </w:pPr>
      <w:r>
        <w:rPr>
          <w:rFonts w:cs="Times New Roman"/>
          <w:color w:val="000009"/>
        </w:rPr>
        <w:t xml:space="preserve"> </w:t>
      </w:r>
    </w:p>
    <w:p>
      <w:pPr>
        <w:pStyle w:val="Titolo2"/>
        <w:widowControl/>
        <w:numPr>
          <w:ilvl w:val="1"/>
          <w:numId w:val="22"/>
        </w:numPr>
        <w:tabs>
          <w:tab w:val="clear" w:pos="720"/>
          <w:tab w:val="left" w:pos="616" w:leader="none"/>
        </w:tabs>
        <w:spacing w:before="0" w:after="120"/>
        <w:ind w:left="357" w:hanging="357"/>
        <w:jc w:val="both"/>
        <w:rPr>
          <w:rFonts w:ascii="Titillium Web" w:hAnsi="Titillium Web" w:cs="Times New Roman"/>
          <w:b/>
          <w:b/>
          <w:bCs/>
          <w:color w:val="auto"/>
          <w:sz w:val="24"/>
          <w:szCs w:val="24"/>
        </w:rPr>
      </w:pPr>
      <w:bookmarkStart w:id="64" w:name="_Toc215218257"/>
      <w:bookmarkStart w:id="65" w:name="_Toc214529862"/>
      <w:r>
        <w:rPr>
          <w:rFonts w:cs="Times New Roman" w:ascii="Titillium Web" w:hAnsi="Titillium Web"/>
          <w:b/>
          <w:bCs/>
          <w:color w:val="auto"/>
          <w:sz w:val="24"/>
          <w:szCs w:val="24"/>
        </w:rPr>
        <w:t>Indicazioni generali sulla procedura</w:t>
      </w:r>
      <w:bookmarkEnd w:id="64"/>
      <w:bookmarkEnd w:id="65"/>
    </w:p>
    <w:p>
      <w:pPr>
        <w:pStyle w:val="ListParagraph"/>
        <w:widowControl/>
        <w:numPr>
          <w:ilvl w:val="0"/>
          <w:numId w:val="23"/>
        </w:numPr>
        <w:spacing w:before="0" w:after="120"/>
        <w:ind w:left="357" w:hanging="357"/>
        <w:contextualSpacing w:val="false"/>
        <w:jc w:val="both"/>
        <w:rPr>
          <w:rFonts w:cs="Times New Roman"/>
          <w:color w:val="000009"/>
        </w:rPr>
      </w:pPr>
      <w:r>
        <w:rPr>
          <w:rFonts w:cs="Times New Roman"/>
          <w:color w:val="000009"/>
        </w:rPr>
        <w:t xml:space="preserve">Le attività relative alla ricezione e valutazione delle domande, alla concessione e revoca dei contributi, nonché le attività relative alla gestione finanziaria, comprensiva delle erogazioni ai beneficiari, dei controlli amministrativi, fisico-tecnici ed economico finanziari sono svolte </w:t>
      </w:r>
      <w:bookmarkStart w:id="66" w:name="_Hlk214894021"/>
      <w:r>
        <w:rPr>
          <w:rFonts w:cs="Times New Roman"/>
          <w:color w:val="000009"/>
        </w:rPr>
        <w:t>dall’Amministrazione comunale, Settore UPI economia urbana, occupazione, procedure di gara e negoziali.</w:t>
      </w:r>
      <w:bookmarkEnd w:id="66"/>
    </w:p>
    <w:p>
      <w:pPr>
        <w:pStyle w:val="ListParagraph"/>
        <w:widowControl/>
        <w:numPr>
          <w:ilvl w:val="0"/>
          <w:numId w:val="23"/>
        </w:numPr>
        <w:spacing w:before="0" w:after="120"/>
        <w:ind w:left="357" w:hanging="357"/>
        <w:contextualSpacing w:val="false"/>
        <w:jc w:val="both"/>
        <w:rPr>
          <w:rFonts w:cs="Times New Roman"/>
          <w:color w:val="000009"/>
        </w:rPr>
      </w:pPr>
      <w:r>
        <w:rPr>
          <w:rFonts w:cs="Times New Roman"/>
          <w:color w:val="000009"/>
        </w:rPr>
        <w:t>L’esame delle domande è effettuato con le modalità valutative a sportello.</w:t>
      </w:r>
    </w:p>
    <w:p>
      <w:pPr>
        <w:pStyle w:val="ListParagraph"/>
        <w:widowControl/>
        <w:numPr>
          <w:ilvl w:val="0"/>
          <w:numId w:val="23"/>
        </w:numPr>
        <w:spacing w:before="0" w:after="120"/>
        <w:ind w:left="357" w:hanging="357"/>
        <w:contextualSpacing w:val="false"/>
        <w:jc w:val="both"/>
        <w:rPr>
          <w:rFonts w:cs="Times New Roman"/>
          <w:color w:val="000009"/>
        </w:rPr>
      </w:pPr>
      <w:r>
        <w:rPr>
          <w:rFonts w:cs="Times New Roman"/>
          <w:color w:val="000009"/>
        </w:rPr>
        <w:t>Le domande saranno finanziate fino ad esaurimento delle risorse disponibili di cui presente Avviso.</w:t>
      </w:r>
    </w:p>
    <w:p>
      <w:pPr>
        <w:pStyle w:val="ListParagraph"/>
        <w:widowControl/>
        <w:numPr>
          <w:ilvl w:val="0"/>
          <w:numId w:val="23"/>
        </w:numPr>
        <w:spacing w:before="0" w:after="120"/>
        <w:ind w:left="357" w:hanging="357"/>
        <w:contextualSpacing w:val="false"/>
        <w:jc w:val="both"/>
        <w:rPr>
          <w:rFonts w:cs="Times New Roman"/>
          <w:color w:val="000009"/>
        </w:rPr>
      </w:pPr>
      <w:r>
        <w:rPr>
          <w:rFonts w:cs="Times New Roman"/>
          <w:color w:val="000009"/>
        </w:rPr>
        <w:t>L’Amministrazione non assume alcuna responsabilità per eventuali disguidi e/o per malfunzionamento della rete telematica, imputabili a terzi, a caso fortuito o a forza maggiore.</w:t>
      </w:r>
    </w:p>
    <w:p>
      <w:pPr>
        <w:pStyle w:val="Titolo2"/>
        <w:tabs>
          <w:tab w:val="clear" w:pos="720"/>
          <w:tab w:val="left" w:pos="426" w:leader="none"/>
        </w:tabs>
        <w:spacing w:before="0" w:after="0"/>
        <w:jc w:val="both"/>
        <w:rPr>
          <w:rFonts w:ascii="Aptos" w:hAnsi="Aptos" w:cs="Times New Roman"/>
          <w:b/>
          <w:b/>
          <w:bCs/>
          <w:color w:val="auto"/>
          <w:sz w:val="22"/>
          <w:szCs w:val="22"/>
        </w:rPr>
      </w:pPr>
      <w:r>
        <w:rPr>
          <w:rFonts w:cs="Times New Roman" w:ascii="Aptos" w:hAnsi="Aptos"/>
          <w:b/>
          <w:bCs/>
          <w:color w:val="auto"/>
          <w:sz w:val="22"/>
          <w:szCs w:val="22"/>
        </w:rPr>
      </w:r>
    </w:p>
    <w:p>
      <w:pPr>
        <w:pStyle w:val="Titolo2"/>
        <w:widowControl/>
        <w:numPr>
          <w:ilvl w:val="1"/>
          <w:numId w:val="23"/>
        </w:numPr>
        <w:tabs>
          <w:tab w:val="clear" w:pos="720"/>
          <w:tab w:val="left" w:pos="426" w:leader="none"/>
        </w:tabs>
        <w:spacing w:before="0" w:after="120"/>
        <w:ind w:left="357" w:hanging="357"/>
        <w:jc w:val="both"/>
        <w:rPr>
          <w:rFonts w:ascii="Titillium Web" w:hAnsi="Titillium Web" w:cs="Times New Roman"/>
          <w:b/>
          <w:b/>
          <w:bCs/>
          <w:color w:val="auto"/>
          <w:sz w:val="24"/>
          <w:szCs w:val="24"/>
        </w:rPr>
      </w:pPr>
      <w:bookmarkStart w:id="67" w:name="_Toc215218258"/>
      <w:bookmarkStart w:id="68" w:name="_Toc214529863"/>
      <w:r>
        <w:rPr>
          <w:rFonts w:cs="Times New Roman" w:ascii="Titillium Web" w:hAnsi="Titillium Web"/>
          <w:b/>
          <w:bCs/>
          <w:color w:val="auto"/>
          <w:sz w:val="24"/>
          <w:szCs w:val="24"/>
        </w:rPr>
        <w:t>Modalità di presentazione della domanda</w:t>
      </w:r>
      <w:bookmarkEnd w:id="67"/>
      <w:bookmarkEnd w:id="68"/>
    </w:p>
    <w:p>
      <w:pPr>
        <w:pStyle w:val="ListParagraph"/>
        <w:widowControl/>
        <w:numPr>
          <w:ilvl w:val="0"/>
          <w:numId w:val="24"/>
        </w:numPr>
        <w:spacing w:before="0" w:after="120"/>
        <w:contextualSpacing w:val="false"/>
        <w:jc w:val="both"/>
        <w:rPr>
          <w:rFonts w:cs="Times New Roman"/>
          <w:color w:val="000009"/>
        </w:rPr>
      </w:pPr>
      <w:bookmarkStart w:id="69" w:name="_Hlk214894130"/>
      <w:bookmarkEnd w:id="69"/>
      <w:r>
        <w:rPr>
          <w:rFonts w:cs="Times New Roman"/>
          <w:color w:val="000009"/>
        </w:rPr>
        <w:t xml:space="preserve">Le domande, compilate secondo il Modulo di Domanda (Allegato A) al presente Avviso disponibile unitamente alla documentazione di cui al punto 4.4 ed al Formulario di Progetto (Allegato B) devono essere inviate tramite la piattaforma telematica dedicata disponibile al seguente link: </w:t>
      </w:r>
      <w:r>
        <w:rPr>
          <w:rFonts w:cs="Times New Roman"/>
          <w:b/>
          <w:color w:val="000009"/>
        </w:rPr>
        <w:t>https://economia-occupazione.reggiocal.it</w:t>
      </w:r>
      <w:r>
        <w:rPr>
          <w:rFonts w:cs="Times New Roman"/>
          <w:color w:val="000009"/>
        </w:rPr>
        <w:t>.</w:t>
      </w:r>
    </w:p>
    <w:p>
      <w:pPr>
        <w:pStyle w:val="ListParagraph"/>
        <w:widowControl/>
        <w:numPr>
          <w:ilvl w:val="0"/>
          <w:numId w:val="24"/>
        </w:numPr>
        <w:spacing w:before="0" w:after="120"/>
        <w:ind w:left="357" w:hanging="357"/>
        <w:contextualSpacing w:val="false"/>
        <w:jc w:val="both"/>
        <w:rPr>
          <w:rFonts w:cs="Times New Roman"/>
          <w:color w:val="000009"/>
        </w:rPr>
      </w:pPr>
      <w:r>
        <w:rPr>
          <w:rFonts w:cs="Times New Roman"/>
          <w:color w:val="000009"/>
        </w:rPr>
        <w:t>Tale modulo di domanda, compilato tassativamente in ciascuna delle parti di cui si compone, deve essere firmato digitalmente dal legale rappresentante del soggetto richiedente il contributo.</w:t>
      </w:r>
    </w:p>
    <w:p>
      <w:pPr>
        <w:pStyle w:val="ListParagraph"/>
        <w:widowControl/>
        <w:numPr>
          <w:ilvl w:val="0"/>
          <w:numId w:val="24"/>
        </w:numPr>
        <w:spacing w:before="0" w:after="120"/>
        <w:ind w:left="357" w:hanging="357"/>
        <w:contextualSpacing w:val="false"/>
        <w:jc w:val="both"/>
        <w:rPr>
          <w:rFonts w:cs="Times New Roman"/>
          <w:color w:val="000009"/>
        </w:rPr>
      </w:pPr>
      <w:r>
        <w:rPr>
          <w:rFonts w:cs="Times New Roman"/>
          <w:color w:val="000009"/>
        </w:rPr>
        <w:t>La domanda è resa nella forma dell’autocertificazione, ai sensi del D.P.R. n. 445/2000 e con le responsabilità previste dagli artt. 75 e 76 dello stesso Decreto.</w:t>
      </w:r>
    </w:p>
    <w:p>
      <w:pPr>
        <w:pStyle w:val="ListParagraph"/>
        <w:widowControl/>
        <w:numPr>
          <w:ilvl w:val="0"/>
          <w:numId w:val="24"/>
        </w:numPr>
        <w:spacing w:before="0" w:after="120"/>
        <w:ind w:left="357" w:hanging="357"/>
        <w:contextualSpacing w:val="false"/>
        <w:jc w:val="both"/>
        <w:rPr>
          <w:rFonts w:cs="Times New Roman"/>
          <w:color w:val="000009"/>
        </w:rPr>
      </w:pPr>
      <w:r>
        <w:rPr>
          <w:rFonts w:cs="Times New Roman"/>
          <w:color w:val="000009"/>
        </w:rPr>
        <w:t>La domanda di aiuto è soggetta al pagamento dell’imposta di bollo (di 16 euro). L’impresa dovrà dichiarare nella domanda di aver regolarmente assolto a tale obbligo e conservare la relativa documentazione presso la propria sede o il diverso luogo indicato per la conservazione della documentazione.</w:t>
      </w:r>
    </w:p>
    <w:p>
      <w:pPr>
        <w:pStyle w:val="ListParagraph"/>
        <w:widowControl/>
        <w:spacing w:before="0" w:after="0"/>
        <w:ind w:left="0" w:hanging="0"/>
        <w:contextualSpacing w:val="false"/>
        <w:jc w:val="both"/>
        <w:rPr>
          <w:rFonts w:cs="Times New Roman"/>
          <w:color w:val="000009"/>
        </w:rPr>
      </w:pPr>
      <w:r>
        <w:rPr>
          <w:rFonts w:cs="Times New Roman"/>
          <w:color w:val="000009"/>
        </w:rPr>
      </w:r>
    </w:p>
    <w:p>
      <w:pPr>
        <w:pStyle w:val="Titolo2"/>
        <w:widowControl/>
        <w:numPr>
          <w:ilvl w:val="1"/>
          <w:numId w:val="24"/>
        </w:numPr>
        <w:tabs>
          <w:tab w:val="clear" w:pos="720"/>
          <w:tab w:val="left" w:pos="426" w:leader="none"/>
        </w:tabs>
        <w:spacing w:before="0" w:after="120"/>
        <w:ind w:left="357" w:hanging="357"/>
        <w:jc w:val="both"/>
        <w:rPr>
          <w:rFonts w:ascii="Titillium Web" w:hAnsi="Titillium Web" w:cs="Times New Roman"/>
          <w:b/>
          <w:b/>
          <w:bCs/>
          <w:color w:val="auto"/>
          <w:sz w:val="24"/>
          <w:szCs w:val="24"/>
        </w:rPr>
      </w:pPr>
      <w:bookmarkStart w:id="70" w:name="_Hlk214894130"/>
      <w:bookmarkStart w:id="71" w:name="_Toc215218259"/>
      <w:bookmarkStart w:id="72" w:name="_Toc214529864"/>
      <w:bookmarkEnd w:id="70"/>
      <w:r>
        <w:rPr>
          <w:rFonts w:cs="Times New Roman" w:ascii="Titillium Web" w:hAnsi="Titillium Web"/>
          <w:b/>
          <w:bCs/>
          <w:color w:val="auto"/>
          <w:sz w:val="24"/>
          <w:szCs w:val="24"/>
        </w:rPr>
        <w:t>Termini di presentazione della domanda di aiuto</w:t>
      </w:r>
      <w:bookmarkEnd w:id="71"/>
      <w:bookmarkEnd w:id="72"/>
    </w:p>
    <w:p>
      <w:pPr>
        <w:pStyle w:val="ListParagraph"/>
        <w:widowControl/>
        <w:numPr>
          <w:ilvl w:val="0"/>
          <w:numId w:val="25"/>
        </w:numPr>
        <w:spacing w:before="0" w:after="120"/>
        <w:ind w:left="357" w:hanging="357"/>
        <w:contextualSpacing w:val="false"/>
        <w:jc w:val="both"/>
        <w:rPr>
          <w:rFonts w:cs="Times New Roman"/>
          <w:color w:val="000009"/>
        </w:rPr>
      </w:pPr>
      <w:bookmarkStart w:id="73" w:name="_Hlk214894225"/>
      <w:r>
        <w:rPr>
          <w:rFonts w:cs="Times New Roman"/>
          <w:color w:val="000009"/>
        </w:rPr>
        <w:t>Le domande potranno essere presentate a partire dal giorno 14.04.2026 alle ore 12.00</w:t>
      </w:r>
      <w:bookmarkEnd w:id="73"/>
    </w:p>
    <w:p>
      <w:pPr>
        <w:pStyle w:val="Normal"/>
        <w:jc w:val="both"/>
        <w:rPr>
          <w:rFonts w:cs="Times New Roman"/>
          <w:color w:val="000009"/>
        </w:rPr>
      </w:pPr>
      <w:r>
        <w:rPr>
          <w:rFonts w:cs="Times New Roman"/>
          <w:color w:val="000009"/>
        </w:rPr>
      </w:r>
    </w:p>
    <w:p>
      <w:pPr>
        <w:pStyle w:val="Titolo2"/>
        <w:widowControl/>
        <w:numPr>
          <w:ilvl w:val="1"/>
          <w:numId w:val="24"/>
        </w:numPr>
        <w:tabs>
          <w:tab w:val="clear" w:pos="720"/>
          <w:tab w:val="left" w:pos="426" w:leader="none"/>
        </w:tabs>
        <w:spacing w:before="0" w:after="120"/>
        <w:ind w:left="357" w:hanging="357"/>
        <w:jc w:val="both"/>
        <w:rPr>
          <w:rFonts w:ascii="Aptos" w:hAnsi="Aptos" w:cs="Times New Roman"/>
          <w:b/>
          <w:b/>
          <w:bCs/>
          <w:color w:val="auto"/>
          <w:sz w:val="24"/>
          <w:szCs w:val="24"/>
        </w:rPr>
      </w:pPr>
      <w:bookmarkStart w:id="74" w:name="_Toc215218260"/>
      <w:bookmarkStart w:id="75" w:name="_Toc214529865"/>
      <w:r>
        <w:rPr>
          <w:rFonts w:cs="Times New Roman" w:ascii="Aptos" w:hAnsi="Aptos"/>
          <w:b/>
          <w:bCs/>
          <w:color w:val="auto"/>
          <w:sz w:val="24"/>
          <w:szCs w:val="24"/>
        </w:rPr>
        <w:t>Documentazione da allegare alla domanda</w:t>
      </w:r>
      <w:bookmarkEnd w:id="74"/>
      <w:bookmarkEnd w:id="75"/>
    </w:p>
    <w:p>
      <w:pPr>
        <w:pStyle w:val="Normal"/>
        <w:widowControl/>
        <w:numPr>
          <w:ilvl w:val="1"/>
          <w:numId w:val="49"/>
        </w:numPr>
        <w:spacing w:before="0" w:after="120"/>
        <w:ind w:left="357" w:hanging="357"/>
        <w:jc w:val="both"/>
        <w:rPr>
          <w:rFonts w:cs="Times New Roman"/>
          <w:color w:val="000009"/>
        </w:rPr>
      </w:pPr>
      <w:bookmarkStart w:id="76" w:name="_Hlk214894276"/>
      <w:r>
        <w:rPr>
          <w:rFonts w:cs="Times New Roman"/>
          <w:color w:val="000009"/>
        </w:rPr>
        <w:t>I richiedenti dovranno presentare, unitamente alla Domanda di Accesso sottoscritta digitalmente ed agli Allegati A1-A2-A3-A4-A5-A6 che formano parte integrante della stessa, con le modalità previste ai paragrafi 4.2 e 4.3 del presente Avviso:</w:t>
      </w:r>
    </w:p>
    <w:p>
      <w:pPr>
        <w:pStyle w:val="ListParagraph"/>
        <w:widowControl/>
        <w:numPr>
          <w:ilvl w:val="1"/>
          <w:numId w:val="1"/>
        </w:numPr>
        <w:spacing w:before="0" w:after="120"/>
        <w:ind w:left="714" w:hanging="357"/>
        <w:contextualSpacing w:val="false"/>
        <w:jc w:val="both"/>
        <w:rPr>
          <w:rFonts w:cs="Times New Roman"/>
          <w:color w:val="000009"/>
        </w:rPr>
      </w:pPr>
      <w:r>
        <w:rPr>
          <w:rFonts w:cs="Times New Roman"/>
          <w:color w:val="000009"/>
        </w:rPr>
        <w:t>Copia del documento di identità in corso di validità e del codice fiscale dei soggetti proponenti, nel caso di carta di identità elettronica non è necessario allegare anche il codice fiscale;</w:t>
      </w:r>
    </w:p>
    <w:p>
      <w:pPr>
        <w:pStyle w:val="ListParagraph"/>
        <w:widowControl/>
        <w:numPr>
          <w:ilvl w:val="1"/>
          <w:numId w:val="1"/>
        </w:numPr>
        <w:spacing w:before="0" w:after="120"/>
        <w:ind w:left="714" w:hanging="357"/>
        <w:contextualSpacing w:val="false"/>
        <w:jc w:val="both"/>
        <w:rPr>
          <w:rFonts w:cs="Times New Roman"/>
          <w:color w:val="000009"/>
        </w:rPr>
      </w:pPr>
      <w:r>
        <w:rPr>
          <w:rFonts w:cs="Times New Roman"/>
          <w:color w:val="000009"/>
        </w:rPr>
        <w:t>Formulario di Progetto di cui all’Allegato B al presente Avviso, completo in ciascuna delle sue parti e sottoscritto digitalmente;</w:t>
      </w:r>
    </w:p>
    <w:p>
      <w:pPr>
        <w:pStyle w:val="ListParagraph"/>
        <w:widowControl/>
        <w:numPr>
          <w:ilvl w:val="1"/>
          <w:numId w:val="1"/>
        </w:numPr>
        <w:spacing w:before="0" w:after="120"/>
        <w:ind w:left="714" w:hanging="357"/>
        <w:contextualSpacing w:val="false"/>
        <w:jc w:val="both"/>
        <w:rPr>
          <w:rFonts w:cs="Times New Roman"/>
          <w:color w:val="000009"/>
        </w:rPr>
      </w:pPr>
      <w:r>
        <w:rPr>
          <w:rFonts w:cs="Times New Roman"/>
          <w:color w:val="000009"/>
        </w:rPr>
        <w:t>Preventivi di spesa e/o computo metrico o altra documentazione equivalente;</w:t>
      </w:r>
    </w:p>
    <w:p>
      <w:pPr>
        <w:pStyle w:val="ListParagraph"/>
        <w:widowControl/>
        <w:numPr>
          <w:ilvl w:val="1"/>
          <w:numId w:val="1"/>
        </w:numPr>
        <w:spacing w:before="0" w:after="120"/>
        <w:ind w:left="714" w:hanging="357"/>
        <w:contextualSpacing w:val="false"/>
        <w:jc w:val="both"/>
        <w:rPr>
          <w:rFonts w:cs="Times New Roman"/>
          <w:color w:val="000009"/>
        </w:rPr>
      </w:pPr>
      <w:r>
        <w:rPr>
          <w:rFonts w:cs="Times New Roman"/>
          <w:color w:val="000009"/>
        </w:rPr>
        <w:t>Planimetria generale, in adeguata scala, dalla quale risultino la dimensione e la configurazione delle superfici coperte dell’unità locale oggetto del programma di investimenti;</w:t>
      </w:r>
    </w:p>
    <w:p>
      <w:pPr>
        <w:pStyle w:val="ListParagraph"/>
        <w:widowControl/>
        <w:numPr>
          <w:ilvl w:val="1"/>
          <w:numId w:val="1"/>
        </w:numPr>
        <w:spacing w:before="0" w:after="120"/>
        <w:ind w:left="714" w:hanging="357"/>
        <w:contextualSpacing w:val="false"/>
        <w:jc w:val="both"/>
        <w:rPr>
          <w:rFonts w:cs="Times New Roman"/>
          <w:color w:val="000009"/>
        </w:rPr>
      </w:pPr>
      <w:r>
        <w:rPr>
          <w:rFonts w:cs="Times New Roman"/>
          <w:color w:val="000009"/>
        </w:rPr>
        <w:t>Copia degli atti e/o contratti registrati attestanti la piena disponibilità (proprietà, locazione, comodato, ecc.) dell’unità produttiva nell’ambito della quale verrà realizzato il Programma di Investimenti;</w:t>
      </w:r>
    </w:p>
    <w:p>
      <w:pPr>
        <w:pStyle w:val="ListParagraph"/>
        <w:widowControl/>
        <w:numPr>
          <w:ilvl w:val="1"/>
          <w:numId w:val="1"/>
        </w:numPr>
        <w:spacing w:before="0" w:after="120"/>
        <w:ind w:left="714" w:hanging="357"/>
        <w:contextualSpacing w:val="false"/>
        <w:jc w:val="both"/>
        <w:rPr>
          <w:rFonts w:cs="Times New Roman"/>
          <w:color w:val="000009"/>
        </w:rPr>
      </w:pPr>
      <w:r>
        <w:rPr>
          <w:rFonts w:cs="Times New Roman"/>
          <w:color w:val="000009"/>
        </w:rPr>
        <w:t>Dichiarazione sottoscritta dal proprietario dell’immobile di assenso alla realizzazione dell’intervento (solo nel caso in cui il proprietario dell’immobile in cui viene realizzato l’intervento sia diverso dal soggetto che presenta la Domanda di Accesso) di cui all’Allegato C;</w:t>
      </w:r>
    </w:p>
    <w:p>
      <w:pPr>
        <w:pStyle w:val="ListParagraph"/>
        <w:widowControl/>
        <w:numPr>
          <w:ilvl w:val="1"/>
          <w:numId w:val="1"/>
        </w:numPr>
        <w:spacing w:before="0" w:after="120"/>
        <w:ind w:left="714" w:hanging="357"/>
        <w:contextualSpacing w:val="false"/>
        <w:jc w:val="both"/>
        <w:rPr>
          <w:rFonts w:cs="Times New Roman"/>
          <w:color w:val="000009"/>
        </w:rPr>
      </w:pPr>
      <w:r>
        <w:rPr>
          <w:rFonts w:cs="Times New Roman"/>
          <w:color w:val="000009"/>
        </w:rPr>
        <w:t>Idonea documentazione (certificato del Comune e/o perizia giurata predisposta secondo il facsimile di cui all’Allegato D, attestante il rispetto dei vincoli edilizi, urbanistici e di destinazione d’uso e la zona in cui ricade l’unità produttiva interessata al Programma di Investimento produttivo;</w:t>
      </w:r>
    </w:p>
    <w:p>
      <w:pPr>
        <w:pStyle w:val="ListParagraph"/>
        <w:widowControl/>
        <w:numPr>
          <w:ilvl w:val="1"/>
          <w:numId w:val="1"/>
        </w:numPr>
        <w:spacing w:before="0" w:after="120"/>
        <w:ind w:left="714" w:hanging="357"/>
        <w:contextualSpacing w:val="false"/>
        <w:jc w:val="both"/>
        <w:rPr>
          <w:rFonts w:cs="Times New Roman"/>
          <w:color w:val="000009"/>
        </w:rPr>
      </w:pPr>
      <w:r>
        <w:rPr>
          <w:rFonts w:cs="Times New Roman"/>
          <w:color w:val="000009"/>
        </w:rPr>
        <w:t>(Ove ricorre) Bilancio di esercizio degli ultimi 2 anni completo degli allegati e note di deposito in caso di società; dichiarazione dei redditi degli ultimi 2 anni completa di ricevuta di trasmissione nel caso di ditta individuale.</w:t>
      </w:r>
    </w:p>
    <w:p>
      <w:pPr>
        <w:pStyle w:val="ListParagraph"/>
        <w:numPr>
          <w:ilvl w:val="1"/>
          <w:numId w:val="49"/>
        </w:numPr>
        <w:spacing w:before="0" w:after="120"/>
        <w:ind w:left="357" w:hanging="357"/>
        <w:contextualSpacing w:val="false"/>
        <w:jc w:val="both"/>
        <w:rPr>
          <w:rFonts w:cs="Times New Roman"/>
          <w:color w:val="000009"/>
        </w:rPr>
      </w:pPr>
      <w:r>
        <w:rPr>
          <w:rFonts w:cs="Times New Roman"/>
          <w:color w:val="000009"/>
        </w:rPr>
        <w:t>Nel caso delle iniziative riguardanti la Linea B la documentazione prevista ai punti e,f,g dovrà essere presentata prima della sottoscrizione dell’atto di adesione ed obbligo.</w:t>
      </w:r>
    </w:p>
    <w:p>
      <w:pPr>
        <w:pStyle w:val="ListParagraph"/>
        <w:numPr>
          <w:ilvl w:val="1"/>
          <w:numId w:val="49"/>
        </w:numPr>
        <w:spacing w:before="0" w:after="120"/>
        <w:ind w:left="357" w:hanging="357"/>
        <w:contextualSpacing w:val="false"/>
        <w:jc w:val="both"/>
        <w:rPr>
          <w:rFonts w:cs="Times New Roman"/>
          <w:color w:val="000009"/>
        </w:rPr>
      </w:pPr>
      <w:bookmarkStart w:id="77" w:name="_Hlk214894276"/>
      <w:r>
        <w:rPr>
          <w:rFonts w:cs="Times New Roman"/>
          <w:color w:val="000009"/>
        </w:rPr>
        <w:t>Le domande di aiuto mancanti anche di uno solo dei documenti richiesti dall’Avviso e/o non correttamente compilate, saranno considerate irricevibili e pertanto non saranno accettate.</w:t>
      </w:r>
      <w:bookmarkEnd w:id="77"/>
    </w:p>
    <w:p>
      <w:pPr>
        <w:pStyle w:val="ListParagraph"/>
        <w:spacing w:before="0" w:after="0"/>
        <w:ind w:left="0" w:hanging="0"/>
        <w:contextualSpacing w:val="false"/>
        <w:jc w:val="both"/>
        <w:rPr>
          <w:rFonts w:cs="Times New Roman"/>
          <w:color w:val="000009"/>
        </w:rPr>
      </w:pPr>
      <w:r>
        <w:rPr>
          <w:rFonts w:cs="Times New Roman"/>
          <w:color w:val="000009"/>
        </w:rPr>
      </w:r>
    </w:p>
    <w:p>
      <w:pPr>
        <w:pStyle w:val="Titolo2"/>
        <w:widowControl/>
        <w:numPr>
          <w:ilvl w:val="1"/>
          <w:numId w:val="24"/>
        </w:numPr>
        <w:tabs>
          <w:tab w:val="clear" w:pos="720"/>
          <w:tab w:val="left" w:pos="426" w:leader="none"/>
        </w:tabs>
        <w:spacing w:before="0" w:after="120"/>
        <w:ind w:left="357" w:hanging="357"/>
        <w:jc w:val="both"/>
        <w:rPr>
          <w:rFonts w:ascii="Titillium Web" w:hAnsi="Titillium Web" w:cs="Times New Roman"/>
          <w:b/>
          <w:b/>
          <w:bCs/>
          <w:color w:val="auto"/>
          <w:sz w:val="24"/>
          <w:szCs w:val="24"/>
        </w:rPr>
      </w:pPr>
      <w:bookmarkStart w:id="78" w:name="_Toc215218261"/>
      <w:bookmarkStart w:id="79" w:name="_Toc214529866"/>
      <w:r>
        <w:rPr>
          <w:rFonts w:cs="Times New Roman" w:ascii="Titillium Web" w:hAnsi="Titillium Web"/>
          <w:b/>
          <w:bCs/>
          <w:color w:val="auto"/>
          <w:sz w:val="24"/>
          <w:szCs w:val="24"/>
        </w:rPr>
        <w:t>Modalità di valutazione della domanda</w:t>
      </w:r>
      <w:bookmarkEnd w:id="78"/>
      <w:bookmarkEnd w:id="79"/>
    </w:p>
    <w:p>
      <w:pPr>
        <w:pStyle w:val="ListParagraph"/>
        <w:widowControl/>
        <w:numPr>
          <w:ilvl w:val="0"/>
          <w:numId w:val="26"/>
        </w:numPr>
        <w:spacing w:before="0" w:after="120"/>
        <w:ind w:left="357" w:hanging="357"/>
        <w:contextualSpacing w:val="false"/>
        <w:jc w:val="both"/>
        <w:rPr>
          <w:rFonts w:cs="Times New Roman"/>
          <w:color w:val="000009"/>
        </w:rPr>
      </w:pPr>
      <w:bookmarkStart w:id="80" w:name="_Hlk214894425"/>
      <w:r>
        <w:rPr>
          <w:rFonts w:cs="Times New Roman"/>
          <w:color w:val="000009"/>
        </w:rPr>
        <w:t>Le domande presentate saranno esaminate sulla base dei seguenti elementi:</w:t>
      </w:r>
    </w:p>
    <w:p>
      <w:pPr>
        <w:pStyle w:val="ListParagraph"/>
        <w:widowControl/>
        <w:numPr>
          <w:ilvl w:val="0"/>
          <w:numId w:val="27"/>
        </w:numPr>
        <w:spacing w:before="0" w:after="120"/>
        <w:ind w:left="714" w:hanging="357"/>
        <w:contextualSpacing w:val="false"/>
        <w:jc w:val="both"/>
        <w:rPr>
          <w:rFonts w:cs="Times New Roman"/>
          <w:b/>
          <w:b/>
          <w:bCs/>
          <w:color w:val="000009"/>
        </w:rPr>
      </w:pPr>
      <w:r>
        <w:rPr>
          <w:rFonts w:cs="Times New Roman"/>
          <w:b/>
          <w:bCs/>
          <w:color w:val="000009"/>
        </w:rPr>
        <w:t>Ricevibilità:</w:t>
      </w:r>
    </w:p>
    <w:p>
      <w:pPr>
        <w:pStyle w:val="ListParagraph"/>
        <w:widowControl/>
        <w:numPr>
          <w:ilvl w:val="0"/>
          <w:numId w:val="7"/>
        </w:numPr>
        <w:spacing w:before="0" w:after="120"/>
        <w:ind w:left="714" w:hanging="357"/>
        <w:contextualSpacing w:val="false"/>
        <w:jc w:val="both"/>
        <w:rPr>
          <w:rFonts w:cs="Times New Roman"/>
          <w:color w:val="000009"/>
        </w:rPr>
      </w:pPr>
      <w:r>
        <w:rPr>
          <w:rFonts w:cs="Times New Roman"/>
          <w:color w:val="000009"/>
        </w:rPr>
        <w:t>inoltro della domanda nei termini e nelle forme previste dal presente Avviso;</w:t>
      </w:r>
    </w:p>
    <w:p>
      <w:pPr>
        <w:pStyle w:val="ListParagraph"/>
        <w:widowControl/>
        <w:numPr>
          <w:ilvl w:val="0"/>
          <w:numId w:val="7"/>
        </w:numPr>
        <w:spacing w:before="0" w:after="120"/>
        <w:ind w:left="714" w:hanging="357"/>
        <w:contextualSpacing w:val="false"/>
        <w:jc w:val="both"/>
        <w:rPr>
          <w:rFonts w:cs="Times New Roman"/>
          <w:color w:val="000009"/>
        </w:rPr>
      </w:pPr>
      <w:r>
        <w:rPr>
          <w:rFonts w:cs="Times New Roman"/>
          <w:color w:val="000009"/>
        </w:rPr>
        <w:t>completezza e regolarità della domanda e degli allegati;</w:t>
      </w:r>
    </w:p>
    <w:p>
      <w:pPr>
        <w:pStyle w:val="ListParagraph"/>
        <w:widowControl/>
        <w:numPr>
          <w:ilvl w:val="0"/>
          <w:numId w:val="7"/>
        </w:numPr>
        <w:spacing w:before="0" w:after="120"/>
        <w:ind w:left="714" w:hanging="357"/>
        <w:contextualSpacing w:val="false"/>
        <w:jc w:val="both"/>
        <w:rPr>
          <w:rFonts w:cs="Times New Roman"/>
          <w:color w:val="000009"/>
        </w:rPr>
      </w:pPr>
      <w:r>
        <w:rPr>
          <w:rFonts w:cs="Times New Roman"/>
          <w:color w:val="000009"/>
        </w:rPr>
        <w:t xml:space="preserve">rispetto delle condizioni di cui al presente Avviso.  </w:t>
      </w:r>
    </w:p>
    <w:p>
      <w:pPr>
        <w:pStyle w:val="ListParagraph"/>
        <w:widowControl/>
        <w:numPr>
          <w:ilvl w:val="0"/>
          <w:numId w:val="27"/>
        </w:numPr>
        <w:spacing w:before="0" w:after="120"/>
        <w:ind w:left="714" w:hanging="357"/>
        <w:contextualSpacing w:val="false"/>
        <w:jc w:val="both"/>
        <w:rPr>
          <w:rFonts w:cs="Times New Roman"/>
          <w:b/>
          <w:b/>
          <w:bCs/>
          <w:color w:val="000009"/>
        </w:rPr>
      </w:pPr>
      <w:r>
        <w:rPr>
          <w:rFonts w:cs="Times New Roman"/>
          <w:b/>
          <w:bCs/>
          <w:color w:val="000009"/>
        </w:rPr>
        <w:t>Ammissibilità:</w:t>
      </w:r>
    </w:p>
    <w:p>
      <w:pPr>
        <w:pStyle w:val="ListParagraph"/>
        <w:widowControl/>
        <w:numPr>
          <w:ilvl w:val="0"/>
          <w:numId w:val="7"/>
        </w:numPr>
        <w:spacing w:before="0" w:after="120"/>
        <w:ind w:left="714" w:hanging="357"/>
        <w:contextualSpacing w:val="false"/>
        <w:jc w:val="both"/>
        <w:rPr>
          <w:rFonts w:cs="Times New Roman"/>
          <w:b/>
          <w:b/>
          <w:bCs/>
          <w:color w:val="000009"/>
        </w:rPr>
      </w:pPr>
      <w:r>
        <w:rPr>
          <w:rFonts w:cs="Times New Roman"/>
          <w:color w:val="000009"/>
        </w:rPr>
        <w:t>sussistenza di tutti i requisiti di ammissibilità di cui al par. 2 e 3 del presente Avviso.</w:t>
      </w:r>
    </w:p>
    <w:p>
      <w:pPr>
        <w:pStyle w:val="ListParagraph"/>
        <w:widowControl/>
        <w:numPr>
          <w:ilvl w:val="0"/>
          <w:numId w:val="27"/>
        </w:numPr>
        <w:spacing w:before="0" w:after="120"/>
        <w:ind w:left="714" w:hanging="357"/>
        <w:contextualSpacing w:val="false"/>
        <w:jc w:val="both"/>
        <w:rPr>
          <w:rFonts w:cs="Times New Roman"/>
          <w:b/>
          <w:b/>
          <w:bCs/>
          <w:color w:val="000009"/>
        </w:rPr>
      </w:pPr>
      <w:r>
        <w:rPr>
          <w:rFonts w:cs="Times New Roman"/>
          <w:b/>
          <w:bCs/>
          <w:color w:val="000009"/>
        </w:rPr>
        <w:t>Valutazione di merito:</w:t>
      </w:r>
    </w:p>
    <w:p>
      <w:pPr>
        <w:pStyle w:val="ListParagraph"/>
        <w:widowControl/>
        <w:numPr>
          <w:ilvl w:val="0"/>
          <w:numId w:val="7"/>
        </w:numPr>
        <w:spacing w:before="0" w:after="120"/>
        <w:ind w:left="714" w:hanging="357"/>
        <w:contextualSpacing w:val="false"/>
        <w:jc w:val="both"/>
        <w:rPr>
          <w:rFonts w:cs="Times New Roman"/>
          <w:color w:val="000009"/>
        </w:rPr>
      </w:pPr>
      <w:r>
        <w:rPr>
          <w:rFonts w:cs="Times New Roman"/>
          <w:color w:val="000009"/>
        </w:rPr>
        <w:t xml:space="preserve">sulla base dei criteri di valutazione di cui in Appendice (Allegato F). </w:t>
      </w:r>
    </w:p>
    <w:p>
      <w:pPr>
        <w:pStyle w:val="ListParagraph"/>
        <w:widowControl/>
        <w:numPr>
          <w:ilvl w:val="0"/>
          <w:numId w:val="26"/>
        </w:numPr>
        <w:spacing w:before="0" w:after="120"/>
        <w:ind w:left="357" w:hanging="357"/>
        <w:contextualSpacing w:val="false"/>
        <w:jc w:val="both"/>
        <w:rPr>
          <w:rFonts w:cs="Times New Roman"/>
          <w:color w:val="000009"/>
        </w:rPr>
      </w:pPr>
      <w:bookmarkStart w:id="81" w:name="_Hlk214894425"/>
      <w:r>
        <w:rPr>
          <w:rFonts w:cs="Times New Roman"/>
          <w:color w:val="000009"/>
        </w:rPr>
        <w:t>l’Amministrazione nominerà al suo interno una apposita Commissione di valutazione, costituita da 3 componenti, di cui uno con funzioni di Presidente, che effettuerà la verifica della ricevibilità ed ammissibilità delle domande di contributo, in conformità con quanto al precedente comma 1, lettere a) e b). Successivamente a tale verifica, la Commissione di valutazione effettuerà la valutazione di merito delle domande di contributo sulla base dei criteri di cui al successivo punto 4.6, fino ad esaurimento delle risorse disponibili di cui al punto 1 del presente Avviso.</w:t>
      </w:r>
      <w:bookmarkEnd w:id="81"/>
    </w:p>
    <w:p>
      <w:pPr>
        <w:pStyle w:val="ListParagraph"/>
        <w:spacing w:before="0" w:after="0"/>
        <w:ind w:left="0" w:hanging="0"/>
        <w:contextualSpacing w:val="false"/>
        <w:jc w:val="both"/>
        <w:rPr>
          <w:rFonts w:cs="Times New Roman"/>
          <w:color w:val="000009"/>
        </w:rPr>
      </w:pPr>
      <w:r>
        <w:rPr>
          <w:rFonts w:cs="Times New Roman"/>
          <w:color w:val="000009"/>
        </w:rPr>
      </w:r>
    </w:p>
    <w:p>
      <w:pPr>
        <w:pStyle w:val="Titolo2"/>
        <w:widowControl/>
        <w:numPr>
          <w:ilvl w:val="1"/>
          <w:numId w:val="24"/>
        </w:numPr>
        <w:tabs>
          <w:tab w:val="clear" w:pos="720"/>
          <w:tab w:val="left" w:pos="426" w:leader="none"/>
        </w:tabs>
        <w:spacing w:before="0" w:after="120"/>
        <w:ind w:left="357" w:hanging="357"/>
        <w:jc w:val="both"/>
        <w:rPr>
          <w:rFonts w:ascii="Titillium Web" w:hAnsi="Titillium Web" w:cs="Times New Roman"/>
          <w:b/>
          <w:b/>
          <w:bCs/>
          <w:color w:val="auto"/>
          <w:sz w:val="24"/>
          <w:szCs w:val="24"/>
        </w:rPr>
      </w:pPr>
      <w:bookmarkStart w:id="82" w:name="_Toc215218262"/>
      <w:bookmarkStart w:id="83" w:name="_Toc214529867"/>
      <w:r>
        <w:rPr>
          <w:rFonts w:cs="Times New Roman" w:ascii="Titillium Web" w:hAnsi="Titillium Web"/>
          <w:b/>
          <w:bCs/>
          <w:color w:val="auto"/>
          <w:sz w:val="24"/>
          <w:szCs w:val="24"/>
        </w:rPr>
        <w:t>Criteri di valutazione e attribuzione dei punteggi</w:t>
      </w:r>
      <w:bookmarkEnd w:id="82"/>
      <w:bookmarkEnd w:id="83"/>
      <w:r>
        <w:rPr>
          <w:rFonts w:cs="Times New Roman" w:ascii="Titillium Web" w:hAnsi="Titillium Web"/>
          <w:b/>
          <w:bCs/>
          <w:color w:val="auto"/>
          <w:sz w:val="24"/>
          <w:szCs w:val="24"/>
        </w:rPr>
        <w:t xml:space="preserve">  </w:t>
      </w:r>
    </w:p>
    <w:p>
      <w:pPr>
        <w:pStyle w:val="ListParagraph"/>
        <w:widowControl/>
        <w:numPr>
          <w:ilvl w:val="0"/>
          <w:numId w:val="28"/>
        </w:numPr>
        <w:spacing w:before="0" w:after="120"/>
        <w:ind w:left="357" w:hanging="357"/>
        <w:contextualSpacing w:val="false"/>
        <w:jc w:val="both"/>
        <w:rPr>
          <w:rFonts w:cs="Times New Roman"/>
          <w:color w:val="000009"/>
        </w:rPr>
      </w:pPr>
      <w:r>
        <w:rPr>
          <w:rFonts w:cs="Times New Roman"/>
          <w:color w:val="000009"/>
        </w:rPr>
        <w:t xml:space="preserve">I punteggi, ai fini della valutazione di merito, saranno attribuiti alle domande ritenute ammissibili, sulla base dei criteri indicati, per ciascuna Operazione, nell’ Appendice (Allegato F). </w:t>
      </w:r>
      <w:bookmarkStart w:id="84" w:name="_Hlk204617795"/>
    </w:p>
    <w:p>
      <w:pPr>
        <w:pStyle w:val="ListParagraph"/>
        <w:widowControl/>
        <w:numPr>
          <w:ilvl w:val="0"/>
          <w:numId w:val="28"/>
        </w:numPr>
        <w:spacing w:before="0" w:after="120"/>
        <w:ind w:left="357" w:hanging="357"/>
        <w:contextualSpacing w:val="false"/>
        <w:jc w:val="both"/>
        <w:rPr>
          <w:rFonts w:cs="Times New Roman"/>
          <w:color w:val="000009"/>
        </w:rPr>
      </w:pPr>
      <w:r>
        <w:rPr>
          <w:rFonts w:cs="Times New Roman"/>
          <w:color w:val="000009"/>
        </w:rPr>
        <w:t xml:space="preserve">Il punteggio massimo attribuibile è pari a 100 punti. Non sono ritenute finanziabili le domande che, a seguito della valutazione di merito, avranno riportato un punteggio inferiore a 60 punti. </w:t>
      </w:r>
      <w:bookmarkEnd w:id="84"/>
    </w:p>
    <w:p>
      <w:pPr>
        <w:pStyle w:val="ListParagraph"/>
        <w:widowControl/>
        <w:numPr>
          <w:ilvl w:val="0"/>
          <w:numId w:val="28"/>
        </w:numPr>
        <w:spacing w:before="0" w:after="120"/>
        <w:ind w:left="357" w:hanging="357"/>
        <w:contextualSpacing w:val="false"/>
        <w:jc w:val="both"/>
        <w:rPr>
          <w:rFonts w:cs="Times New Roman"/>
          <w:color w:val="000009"/>
        </w:rPr>
      </w:pPr>
      <w:r>
        <w:rPr>
          <w:rFonts w:cs="Times New Roman"/>
          <w:color w:val="000009"/>
        </w:rPr>
        <w:t>Ai fini della selezione delle operazioni, ove la determinazione del punteggio non sia riferita ad elementi oggettivi individuati con la descrizione dei criteri di cui all’allegato F, ad ognuno degli indicatori della griglia di valutazione, sarà attribuito un giudizio sintetico scelto tra 7 giudizi predeterminati secondo la seguente tabella:</w:t>
      </w:r>
    </w:p>
    <w:p>
      <w:pPr>
        <w:pStyle w:val="ListParagraph"/>
        <w:spacing w:before="0" w:after="120"/>
        <w:ind w:left="360" w:hanging="0"/>
        <w:contextualSpacing w:val="false"/>
        <w:jc w:val="both"/>
        <w:rPr>
          <w:rFonts w:cs="Times New Roman"/>
          <w:color w:val="000009"/>
        </w:rPr>
      </w:pPr>
      <w:r>
        <w:rPr>
          <w:rFonts w:cs="Times New Roman"/>
          <w:color w:val="000009"/>
        </w:rPr>
      </w:r>
    </w:p>
    <w:tbl>
      <w:tblPr>
        <w:tblStyle w:val="TableNormal"/>
        <w:tblW w:w="6461" w:type="dxa"/>
        <w:jc w:val="left"/>
        <w:tblInd w:w="764" w:type="dxa"/>
        <w:tblLayout w:type="fixed"/>
        <w:tblCellMar>
          <w:top w:w="0" w:type="dxa"/>
          <w:left w:w="5" w:type="dxa"/>
          <w:bottom w:w="0" w:type="dxa"/>
          <w:right w:w="5" w:type="dxa"/>
        </w:tblCellMar>
        <w:tblLook w:firstRow="1" w:noVBand="0" w:lastRow="1" w:firstColumn="1" w:lastColumn="1" w:noHBand="0" w:val="01e0"/>
      </w:tblPr>
      <w:tblGrid>
        <w:gridCol w:w="4618"/>
        <w:gridCol w:w="1842"/>
      </w:tblGrid>
      <w:tr>
        <w:trPr>
          <w:trHeight w:val="220" w:hRule="atLeast"/>
        </w:trPr>
        <w:tc>
          <w:tcPr>
            <w:tcW w:w="4618" w:type="dxa"/>
            <w:tcBorders>
              <w:top w:val="single" w:sz="4" w:space="0" w:color="000000"/>
              <w:left w:val="single" w:sz="4" w:space="0" w:color="000000"/>
              <w:bottom w:val="single" w:sz="4" w:space="0" w:color="000000"/>
              <w:right w:val="single" w:sz="4" w:space="0" w:color="000000"/>
            </w:tcBorders>
          </w:tcPr>
          <w:p>
            <w:pPr>
              <w:pStyle w:val="Normal"/>
              <w:widowControl w:val="false"/>
              <w:spacing w:before="0" w:after="120"/>
              <w:jc w:val="both"/>
              <w:rPr>
                <w:rFonts w:cs="Times New Roman"/>
                <w:b/>
                <w:b/>
                <w:color w:val="000009"/>
              </w:rPr>
            </w:pPr>
            <w:bookmarkStart w:id="85" w:name="_Hlk214894815"/>
            <w:r>
              <w:rPr>
                <w:rFonts w:cs="Times New Roman"/>
                <w:b/>
                <w:color w:val="000009"/>
                <w:kern w:val="0"/>
                <w:sz w:val="22"/>
                <w:szCs w:val="22"/>
                <w:lang w:eastAsia="en-US" w:bidi="ar-SA"/>
              </w:rPr>
              <w:t>Giudizio</w:t>
            </w:r>
          </w:p>
        </w:tc>
        <w:tc>
          <w:tcPr>
            <w:tcW w:w="1842" w:type="dxa"/>
            <w:tcBorders>
              <w:top w:val="single" w:sz="4" w:space="0" w:color="000000"/>
              <w:left w:val="single" w:sz="4" w:space="0" w:color="000000"/>
              <w:bottom w:val="single" w:sz="4" w:space="0" w:color="000000"/>
              <w:right w:val="single" w:sz="4" w:space="0" w:color="000000"/>
            </w:tcBorders>
          </w:tcPr>
          <w:p>
            <w:pPr>
              <w:pStyle w:val="Normal"/>
              <w:widowControl w:val="false"/>
              <w:spacing w:before="0" w:after="120"/>
              <w:jc w:val="both"/>
              <w:rPr>
                <w:rFonts w:cs="Times New Roman"/>
                <w:b/>
                <w:b/>
                <w:color w:val="000009"/>
              </w:rPr>
            </w:pPr>
            <w:r>
              <w:rPr>
                <w:rFonts w:cs="Times New Roman"/>
                <w:b/>
                <w:color w:val="000009"/>
                <w:kern w:val="0"/>
                <w:sz w:val="22"/>
                <w:szCs w:val="22"/>
                <w:lang w:eastAsia="en-US" w:bidi="ar-SA"/>
              </w:rPr>
              <w:t>Coefficiente</w:t>
            </w:r>
          </w:p>
        </w:tc>
      </w:tr>
      <w:tr>
        <w:trPr>
          <w:trHeight w:val="220" w:hRule="atLeast"/>
        </w:trPr>
        <w:tc>
          <w:tcPr>
            <w:tcW w:w="4618" w:type="dxa"/>
            <w:tcBorders>
              <w:top w:val="single" w:sz="4" w:space="0" w:color="000000"/>
              <w:left w:val="single" w:sz="4" w:space="0" w:color="000000"/>
              <w:bottom w:val="single" w:sz="4" w:space="0" w:color="000000"/>
              <w:right w:val="single" w:sz="4" w:space="0" w:color="000000"/>
            </w:tcBorders>
          </w:tcPr>
          <w:p>
            <w:pPr>
              <w:pStyle w:val="Normal"/>
              <w:widowControl w:val="false"/>
              <w:spacing w:before="0" w:after="120"/>
              <w:jc w:val="left"/>
              <w:rPr>
                <w:rFonts w:cs="Times New Roman"/>
                <w:color w:val="000009"/>
              </w:rPr>
            </w:pPr>
            <w:r>
              <w:rPr>
                <w:rFonts w:cs="Times New Roman"/>
                <w:color w:val="000009"/>
                <w:kern w:val="0"/>
                <w:sz w:val="22"/>
                <w:szCs w:val="22"/>
                <w:lang w:eastAsia="en-US" w:bidi="ar-SA"/>
              </w:rPr>
              <w:t>Completamente inadeguato o non valutabile</w:t>
            </w:r>
          </w:p>
        </w:tc>
        <w:tc>
          <w:tcPr>
            <w:tcW w:w="1842" w:type="dxa"/>
            <w:tcBorders>
              <w:top w:val="single" w:sz="4" w:space="0" w:color="000000"/>
              <w:left w:val="single" w:sz="4" w:space="0" w:color="000000"/>
              <w:bottom w:val="single" w:sz="4" w:space="0" w:color="000000"/>
              <w:right w:val="single" w:sz="4" w:space="0" w:color="000000"/>
            </w:tcBorders>
          </w:tcPr>
          <w:p>
            <w:pPr>
              <w:pStyle w:val="Normal"/>
              <w:widowControl w:val="false"/>
              <w:spacing w:before="0" w:after="120"/>
              <w:jc w:val="left"/>
              <w:rPr>
                <w:rFonts w:cs="Times New Roman"/>
                <w:color w:val="000009"/>
              </w:rPr>
            </w:pPr>
            <w:r>
              <w:rPr>
                <w:rFonts w:cs="Times New Roman"/>
                <w:color w:val="000009"/>
                <w:kern w:val="0"/>
                <w:sz w:val="22"/>
                <w:szCs w:val="22"/>
                <w:lang w:eastAsia="en-US" w:bidi="ar-SA"/>
              </w:rPr>
              <w:t>0/6</w:t>
            </w:r>
          </w:p>
        </w:tc>
      </w:tr>
      <w:tr>
        <w:trPr>
          <w:trHeight w:val="218" w:hRule="atLeast"/>
        </w:trPr>
        <w:tc>
          <w:tcPr>
            <w:tcW w:w="4618" w:type="dxa"/>
            <w:tcBorders>
              <w:top w:val="single" w:sz="4" w:space="0" w:color="000000"/>
              <w:left w:val="single" w:sz="4" w:space="0" w:color="000000"/>
              <w:bottom w:val="single" w:sz="4" w:space="0" w:color="000000"/>
              <w:right w:val="single" w:sz="4" w:space="0" w:color="000000"/>
            </w:tcBorders>
          </w:tcPr>
          <w:p>
            <w:pPr>
              <w:pStyle w:val="Normal"/>
              <w:widowControl w:val="false"/>
              <w:spacing w:before="0" w:after="120"/>
              <w:jc w:val="left"/>
              <w:rPr>
                <w:rFonts w:cs="Times New Roman"/>
                <w:color w:val="000009"/>
              </w:rPr>
            </w:pPr>
            <w:r>
              <w:rPr>
                <w:rFonts w:cs="Times New Roman"/>
                <w:color w:val="000009"/>
                <w:kern w:val="0"/>
                <w:sz w:val="22"/>
                <w:szCs w:val="22"/>
                <w:lang w:eastAsia="en-US" w:bidi="ar-SA"/>
              </w:rPr>
              <w:t>Insufficiente</w:t>
            </w:r>
          </w:p>
        </w:tc>
        <w:tc>
          <w:tcPr>
            <w:tcW w:w="1842" w:type="dxa"/>
            <w:tcBorders>
              <w:top w:val="single" w:sz="4" w:space="0" w:color="000000"/>
              <w:left w:val="single" w:sz="4" w:space="0" w:color="000000"/>
              <w:bottom w:val="single" w:sz="4" w:space="0" w:color="000000"/>
              <w:right w:val="single" w:sz="4" w:space="0" w:color="000000"/>
            </w:tcBorders>
          </w:tcPr>
          <w:p>
            <w:pPr>
              <w:pStyle w:val="Normal"/>
              <w:widowControl w:val="false"/>
              <w:spacing w:before="0" w:after="120"/>
              <w:jc w:val="left"/>
              <w:rPr>
                <w:rFonts w:cs="Times New Roman"/>
                <w:color w:val="000009"/>
              </w:rPr>
            </w:pPr>
            <w:r>
              <w:rPr>
                <w:rFonts w:cs="Times New Roman"/>
                <w:color w:val="000009"/>
                <w:kern w:val="0"/>
                <w:sz w:val="22"/>
                <w:szCs w:val="22"/>
                <w:lang w:eastAsia="en-US" w:bidi="ar-SA"/>
              </w:rPr>
              <w:t>1/6</w:t>
            </w:r>
          </w:p>
        </w:tc>
      </w:tr>
      <w:tr>
        <w:trPr>
          <w:trHeight w:val="220" w:hRule="atLeast"/>
        </w:trPr>
        <w:tc>
          <w:tcPr>
            <w:tcW w:w="4618" w:type="dxa"/>
            <w:tcBorders>
              <w:top w:val="single" w:sz="4" w:space="0" w:color="000000"/>
              <w:left w:val="single" w:sz="4" w:space="0" w:color="000000"/>
              <w:bottom w:val="single" w:sz="4" w:space="0" w:color="000000"/>
              <w:right w:val="single" w:sz="4" w:space="0" w:color="000000"/>
            </w:tcBorders>
          </w:tcPr>
          <w:p>
            <w:pPr>
              <w:pStyle w:val="Normal"/>
              <w:widowControl w:val="false"/>
              <w:spacing w:before="0" w:after="120"/>
              <w:jc w:val="left"/>
              <w:rPr>
                <w:rFonts w:cs="Times New Roman"/>
                <w:color w:val="000009"/>
              </w:rPr>
            </w:pPr>
            <w:r>
              <w:rPr>
                <w:rFonts w:cs="Times New Roman"/>
                <w:color w:val="000009"/>
                <w:kern w:val="0"/>
                <w:sz w:val="22"/>
                <w:szCs w:val="22"/>
                <w:lang w:eastAsia="en-US" w:bidi="ar-SA"/>
              </w:rPr>
              <w:t>Mediocre</w:t>
            </w:r>
          </w:p>
        </w:tc>
        <w:tc>
          <w:tcPr>
            <w:tcW w:w="1842" w:type="dxa"/>
            <w:tcBorders>
              <w:top w:val="single" w:sz="4" w:space="0" w:color="000000"/>
              <w:left w:val="single" w:sz="4" w:space="0" w:color="000000"/>
              <w:bottom w:val="single" w:sz="4" w:space="0" w:color="000000"/>
              <w:right w:val="single" w:sz="4" w:space="0" w:color="000000"/>
            </w:tcBorders>
          </w:tcPr>
          <w:p>
            <w:pPr>
              <w:pStyle w:val="Normal"/>
              <w:widowControl w:val="false"/>
              <w:spacing w:before="0" w:after="120"/>
              <w:jc w:val="left"/>
              <w:rPr>
                <w:rFonts w:cs="Times New Roman"/>
                <w:color w:val="000009"/>
              </w:rPr>
            </w:pPr>
            <w:r>
              <w:rPr>
                <w:rFonts w:cs="Times New Roman"/>
                <w:color w:val="000009"/>
                <w:kern w:val="0"/>
                <w:sz w:val="22"/>
                <w:szCs w:val="22"/>
                <w:lang w:eastAsia="en-US" w:bidi="ar-SA"/>
              </w:rPr>
              <w:t>2/6</w:t>
            </w:r>
          </w:p>
        </w:tc>
      </w:tr>
      <w:tr>
        <w:trPr>
          <w:trHeight w:val="220" w:hRule="atLeast"/>
        </w:trPr>
        <w:tc>
          <w:tcPr>
            <w:tcW w:w="4618" w:type="dxa"/>
            <w:tcBorders>
              <w:top w:val="single" w:sz="4" w:space="0" w:color="000000"/>
              <w:left w:val="single" w:sz="4" w:space="0" w:color="000000"/>
              <w:bottom w:val="single" w:sz="4" w:space="0" w:color="000000"/>
              <w:right w:val="single" w:sz="4" w:space="0" w:color="000000"/>
            </w:tcBorders>
          </w:tcPr>
          <w:p>
            <w:pPr>
              <w:pStyle w:val="Normal"/>
              <w:widowControl w:val="false"/>
              <w:spacing w:before="0" w:after="120"/>
              <w:jc w:val="left"/>
              <w:rPr>
                <w:rFonts w:cs="Times New Roman"/>
                <w:color w:val="000009"/>
              </w:rPr>
            </w:pPr>
            <w:r>
              <w:rPr>
                <w:rFonts w:cs="Times New Roman"/>
                <w:color w:val="000009"/>
                <w:kern w:val="0"/>
                <w:sz w:val="22"/>
                <w:szCs w:val="22"/>
                <w:lang w:eastAsia="en-US" w:bidi="ar-SA"/>
              </w:rPr>
              <w:t>Sufficiente</w:t>
            </w:r>
          </w:p>
        </w:tc>
        <w:tc>
          <w:tcPr>
            <w:tcW w:w="1842" w:type="dxa"/>
            <w:tcBorders>
              <w:top w:val="single" w:sz="4" w:space="0" w:color="000000"/>
              <w:left w:val="single" w:sz="4" w:space="0" w:color="000000"/>
              <w:bottom w:val="single" w:sz="4" w:space="0" w:color="000000"/>
              <w:right w:val="single" w:sz="4" w:space="0" w:color="000000"/>
            </w:tcBorders>
          </w:tcPr>
          <w:p>
            <w:pPr>
              <w:pStyle w:val="Normal"/>
              <w:widowControl w:val="false"/>
              <w:spacing w:before="0" w:after="120"/>
              <w:jc w:val="left"/>
              <w:rPr>
                <w:rFonts w:cs="Times New Roman"/>
                <w:color w:val="000009"/>
              </w:rPr>
            </w:pPr>
            <w:r>
              <w:rPr>
                <w:rFonts w:cs="Times New Roman"/>
                <w:color w:val="000009"/>
                <w:kern w:val="0"/>
                <w:sz w:val="22"/>
                <w:szCs w:val="22"/>
                <w:lang w:eastAsia="en-US" w:bidi="ar-SA"/>
              </w:rPr>
              <w:t>3/6</w:t>
            </w:r>
          </w:p>
        </w:tc>
      </w:tr>
      <w:tr>
        <w:trPr>
          <w:trHeight w:val="220" w:hRule="atLeast"/>
        </w:trPr>
        <w:tc>
          <w:tcPr>
            <w:tcW w:w="4618" w:type="dxa"/>
            <w:tcBorders>
              <w:top w:val="single" w:sz="4" w:space="0" w:color="000000"/>
              <w:left w:val="single" w:sz="4" w:space="0" w:color="000000"/>
              <w:bottom w:val="single" w:sz="4" w:space="0" w:color="000000"/>
              <w:right w:val="single" w:sz="4" w:space="0" w:color="000000"/>
            </w:tcBorders>
          </w:tcPr>
          <w:p>
            <w:pPr>
              <w:pStyle w:val="Normal"/>
              <w:widowControl w:val="false"/>
              <w:spacing w:before="0" w:after="120"/>
              <w:jc w:val="left"/>
              <w:rPr>
                <w:rFonts w:cs="Times New Roman"/>
                <w:color w:val="000009"/>
              </w:rPr>
            </w:pPr>
            <w:r>
              <w:rPr>
                <w:rFonts w:cs="Times New Roman"/>
                <w:color w:val="000009"/>
                <w:kern w:val="0"/>
                <w:sz w:val="22"/>
                <w:szCs w:val="22"/>
                <w:lang w:eastAsia="en-US" w:bidi="ar-SA"/>
              </w:rPr>
              <w:t>Buono</w:t>
            </w:r>
          </w:p>
        </w:tc>
        <w:tc>
          <w:tcPr>
            <w:tcW w:w="1842" w:type="dxa"/>
            <w:tcBorders>
              <w:top w:val="single" w:sz="4" w:space="0" w:color="000000"/>
              <w:left w:val="single" w:sz="4" w:space="0" w:color="000000"/>
              <w:bottom w:val="single" w:sz="4" w:space="0" w:color="000000"/>
              <w:right w:val="single" w:sz="4" w:space="0" w:color="000000"/>
            </w:tcBorders>
          </w:tcPr>
          <w:p>
            <w:pPr>
              <w:pStyle w:val="Normal"/>
              <w:widowControl w:val="false"/>
              <w:spacing w:before="0" w:after="120"/>
              <w:jc w:val="left"/>
              <w:rPr>
                <w:rFonts w:cs="Times New Roman"/>
                <w:color w:val="000009"/>
              </w:rPr>
            </w:pPr>
            <w:r>
              <w:rPr>
                <w:rFonts w:cs="Times New Roman"/>
                <w:color w:val="000009"/>
                <w:kern w:val="0"/>
                <w:sz w:val="22"/>
                <w:szCs w:val="22"/>
                <w:lang w:eastAsia="en-US" w:bidi="ar-SA"/>
              </w:rPr>
              <w:t>4/6</w:t>
            </w:r>
          </w:p>
        </w:tc>
      </w:tr>
      <w:tr>
        <w:trPr>
          <w:trHeight w:val="217" w:hRule="atLeast"/>
        </w:trPr>
        <w:tc>
          <w:tcPr>
            <w:tcW w:w="4618" w:type="dxa"/>
            <w:tcBorders>
              <w:top w:val="single" w:sz="4" w:space="0" w:color="000000"/>
              <w:left w:val="single" w:sz="4" w:space="0" w:color="000000"/>
              <w:bottom w:val="single" w:sz="4" w:space="0" w:color="000000"/>
              <w:right w:val="single" w:sz="4" w:space="0" w:color="000000"/>
            </w:tcBorders>
          </w:tcPr>
          <w:p>
            <w:pPr>
              <w:pStyle w:val="Normal"/>
              <w:widowControl w:val="false"/>
              <w:spacing w:before="0" w:after="120"/>
              <w:jc w:val="left"/>
              <w:rPr>
                <w:rFonts w:cs="Times New Roman"/>
                <w:color w:val="000009"/>
              </w:rPr>
            </w:pPr>
            <w:r>
              <w:rPr>
                <w:rFonts w:cs="Times New Roman"/>
                <w:color w:val="000009"/>
                <w:kern w:val="0"/>
                <w:sz w:val="22"/>
                <w:szCs w:val="22"/>
                <w:lang w:eastAsia="en-US" w:bidi="ar-SA"/>
              </w:rPr>
              <w:t>Discreto</w:t>
            </w:r>
          </w:p>
        </w:tc>
        <w:tc>
          <w:tcPr>
            <w:tcW w:w="1842" w:type="dxa"/>
            <w:tcBorders>
              <w:top w:val="single" w:sz="4" w:space="0" w:color="000000"/>
              <w:left w:val="single" w:sz="4" w:space="0" w:color="000000"/>
              <w:bottom w:val="single" w:sz="4" w:space="0" w:color="000000"/>
              <w:right w:val="single" w:sz="4" w:space="0" w:color="000000"/>
            </w:tcBorders>
          </w:tcPr>
          <w:p>
            <w:pPr>
              <w:pStyle w:val="Normal"/>
              <w:widowControl w:val="false"/>
              <w:spacing w:before="0" w:after="120"/>
              <w:jc w:val="left"/>
              <w:rPr>
                <w:rFonts w:cs="Times New Roman"/>
                <w:color w:val="000009"/>
              </w:rPr>
            </w:pPr>
            <w:r>
              <w:rPr>
                <w:rFonts w:cs="Times New Roman"/>
                <w:color w:val="000009"/>
                <w:kern w:val="0"/>
                <w:sz w:val="22"/>
                <w:szCs w:val="22"/>
                <w:lang w:eastAsia="en-US" w:bidi="ar-SA"/>
              </w:rPr>
              <w:t>5/6</w:t>
            </w:r>
          </w:p>
        </w:tc>
      </w:tr>
      <w:tr>
        <w:trPr>
          <w:trHeight w:val="220" w:hRule="atLeast"/>
        </w:trPr>
        <w:tc>
          <w:tcPr>
            <w:tcW w:w="4618" w:type="dxa"/>
            <w:tcBorders>
              <w:top w:val="single" w:sz="4" w:space="0" w:color="000000"/>
              <w:left w:val="single" w:sz="4" w:space="0" w:color="000000"/>
              <w:bottom w:val="single" w:sz="4" w:space="0" w:color="000000"/>
              <w:right w:val="single" w:sz="4" w:space="0" w:color="000000"/>
            </w:tcBorders>
          </w:tcPr>
          <w:p>
            <w:pPr>
              <w:pStyle w:val="Normal"/>
              <w:widowControl w:val="false"/>
              <w:spacing w:before="0" w:after="120"/>
              <w:jc w:val="left"/>
              <w:rPr>
                <w:rFonts w:cs="Times New Roman"/>
                <w:color w:val="000009"/>
              </w:rPr>
            </w:pPr>
            <w:r>
              <w:rPr>
                <w:rFonts w:cs="Times New Roman"/>
                <w:color w:val="000009"/>
                <w:kern w:val="0"/>
                <w:sz w:val="22"/>
                <w:szCs w:val="22"/>
                <w:lang w:eastAsia="en-US" w:bidi="ar-SA"/>
              </w:rPr>
              <w:t>Ottimo</w:t>
            </w:r>
          </w:p>
        </w:tc>
        <w:tc>
          <w:tcPr>
            <w:tcW w:w="1842" w:type="dxa"/>
            <w:tcBorders>
              <w:top w:val="single" w:sz="4" w:space="0" w:color="000000"/>
              <w:left w:val="single" w:sz="4" w:space="0" w:color="000000"/>
              <w:bottom w:val="single" w:sz="4" w:space="0" w:color="000000"/>
              <w:right w:val="single" w:sz="4" w:space="0" w:color="000000"/>
            </w:tcBorders>
          </w:tcPr>
          <w:p>
            <w:pPr>
              <w:pStyle w:val="Normal"/>
              <w:widowControl w:val="false"/>
              <w:spacing w:before="0" w:after="120"/>
              <w:jc w:val="left"/>
              <w:rPr>
                <w:rFonts w:cs="Times New Roman"/>
                <w:color w:val="000009"/>
              </w:rPr>
            </w:pPr>
            <w:bookmarkStart w:id="86" w:name="_Hlk214894815"/>
            <w:r>
              <w:rPr>
                <w:rFonts w:cs="Times New Roman"/>
                <w:color w:val="000009"/>
                <w:kern w:val="0"/>
                <w:sz w:val="22"/>
                <w:szCs w:val="22"/>
                <w:lang w:eastAsia="en-US" w:bidi="ar-SA"/>
              </w:rPr>
              <w:t>6/6</w:t>
            </w:r>
            <w:bookmarkEnd w:id="86"/>
          </w:p>
        </w:tc>
      </w:tr>
    </w:tbl>
    <w:p>
      <w:pPr>
        <w:pStyle w:val="ListParagraph"/>
        <w:spacing w:before="0" w:after="120"/>
        <w:ind w:left="360" w:hanging="0"/>
        <w:contextualSpacing w:val="false"/>
        <w:jc w:val="both"/>
        <w:rPr>
          <w:rFonts w:cs="Times New Roman"/>
          <w:color w:val="000009"/>
        </w:rPr>
      </w:pPr>
      <w:r>
        <w:rPr>
          <w:rFonts w:cs="Times New Roman"/>
          <w:color w:val="000009"/>
        </w:rPr>
      </w:r>
    </w:p>
    <w:p>
      <w:pPr>
        <w:pStyle w:val="ListParagraph"/>
        <w:widowControl/>
        <w:numPr>
          <w:ilvl w:val="0"/>
          <w:numId w:val="28"/>
        </w:numPr>
        <w:spacing w:before="0" w:after="120"/>
        <w:contextualSpacing/>
        <w:jc w:val="both"/>
        <w:rPr>
          <w:rFonts w:cs="Times New Roman"/>
          <w:color w:val="000009"/>
        </w:rPr>
      </w:pPr>
      <w:r>
        <w:rPr>
          <w:rFonts w:cs="Times New Roman"/>
          <w:color w:val="000009"/>
        </w:rPr>
        <w:t>Il punteggio attribuito da ogni membro della Commissione per ciascun criterio o sub criterio di tipo qualitativo sarà quindi quello risultante dal prodotto tra il valore numerico assegnato (da 0/6 a 6/6) e il massimo punteggio per il criterio o sub criterio (Pa = Vnum*Coeff dove Pa è il punteggio attribuito, Vnum il valore numerico assegnato per il criterio o il sub criterio e Coeff è il coefficiente corrispondente al giudizio numerico espresso dai membri della Commissione [calcolato con la formula MaxPunti/Vmax]).</w:t>
      </w:r>
    </w:p>
    <w:p>
      <w:pPr>
        <w:pStyle w:val="ListParagraph"/>
        <w:widowControl/>
        <w:spacing w:before="0" w:after="120"/>
        <w:ind w:left="360" w:hanging="0"/>
        <w:contextualSpacing/>
        <w:jc w:val="both"/>
        <w:rPr>
          <w:rFonts w:cs="Times New Roman"/>
          <w:color w:val="000009"/>
        </w:rPr>
      </w:pPr>
      <w:r>
        <w:rPr>
          <w:rFonts w:cs="Times New Roman"/>
          <w:color w:val="000009"/>
        </w:rPr>
      </w:r>
    </w:p>
    <w:p>
      <w:pPr>
        <w:pStyle w:val="ListParagraph"/>
        <w:widowControl/>
        <w:numPr>
          <w:ilvl w:val="0"/>
          <w:numId w:val="28"/>
        </w:numPr>
        <w:spacing w:before="0" w:after="120"/>
        <w:contextualSpacing/>
        <w:jc w:val="both"/>
        <w:rPr>
          <w:rFonts w:cs="Times New Roman"/>
          <w:color w:val="000009"/>
        </w:rPr>
      </w:pPr>
      <w:r>
        <w:rPr>
          <w:rFonts w:cs="Times New Roman"/>
          <w:color w:val="000009"/>
        </w:rPr>
        <w:t>Il punteggio ottenuto dall’applicazione delle citate formule sarà arrotondato per eccesso e per difetto alla seconda unità decimale superiore o inferiore a 5, in caso di presenza di decimali.</w:t>
      </w:r>
    </w:p>
    <w:p>
      <w:pPr>
        <w:pStyle w:val="ListParagraph"/>
        <w:widowControl/>
        <w:spacing w:before="0" w:after="120"/>
        <w:ind w:left="360" w:hanging="0"/>
        <w:contextualSpacing w:val="false"/>
        <w:jc w:val="both"/>
        <w:rPr>
          <w:rFonts w:cs="Times New Roman"/>
          <w:color w:val="000009"/>
        </w:rPr>
      </w:pPr>
      <w:r>
        <w:rPr>
          <w:rFonts w:cs="Times New Roman"/>
          <w:color w:val="000009"/>
        </w:rPr>
      </w:r>
    </w:p>
    <w:p>
      <w:pPr>
        <w:pStyle w:val="ListParagraph"/>
        <w:widowControl/>
        <w:numPr>
          <w:ilvl w:val="0"/>
          <w:numId w:val="28"/>
        </w:numPr>
        <w:spacing w:before="0" w:after="120"/>
        <w:contextualSpacing w:val="false"/>
        <w:jc w:val="both"/>
        <w:rPr>
          <w:rFonts w:cs="Times New Roman"/>
          <w:color w:val="000009"/>
        </w:rPr>
      </w:pPr>
      <w:r>
        <w:rPr>
          <w:rFonts w:cs="Times New Roman"/>
          <w:color w:val="000009"/>
        </w:rPr>
        <w:t>La Commissione, conclusi i lavori, trasmette all’Amministrazione i verbali delle sedute, le graduatorie per ciascuna Operazione dei beneficiari finanziabili e l’elenco dei non ammessi, con le motivazioni dell’esclusione.</w:t>
      </w:r>
    </w:p>
    <w:p>
      <w:pPr>
        <w:pStyle w:val="Normal"/>
        <w:jc w:val="both"/>
        <w:rPr>
          <w:rFonts w:cs="Times New Roman"/>
          <w:color w:val="000009"/>
        </w:rPr>
      </w:pPr>
      <w:r>
        <w:rPr>
          <w:rFonts w:cs="Times New Roman"/>
          <w:color w:val="000009"/>
        </w:rPr>
      </w:r>
    </w:p>
    <w:p>
      <w:pPr>
        <w:pStyle w:val="Titolo2"/>
        <w:widowControl/>
        <w:numPr>
          <w:ilvl w:val="1"/>
          <w:numId w:val="28"/>
        </w:numPr>
        <w:spacing w:before="0" w:after="120"/>
        <w:ind w:left="357" w:hanging="357"/>
        <w:jc w:val="both"/>
        <w:rPr>
          <w:rFonts w:ascii="Titillium Web" w:hAnsi="Titillium Web" w:cs="Times New Roman"/>
          <w:b/>
          <w:b/>
          <w:bCs/>
          <w:color w:val="auto"/>
          <w:sz w:val="24"/>
          <w:szCs w:val="24"/>
        </w:rPr>
      </w:pPr>
      <w:bookmarkStart w:id="87" w:name="_Toc215218263"/>
      <w:bookmarkStart w:id="88" w:name="_Toc214529868"/>
      <w:r>
        <w:rPr>
          <w:rFonts w:cs="Times New Roman" w:ascii="Titillium Web" w:hAnsi="Titillium Web"/>
          <w:b/>
          <w:bCs/>
          <w:color w:val="auto"/>
          <w:sz w:val="24"/>
          <w:szCs w:val="24"/>
        </w:rPr>
        <w:t>Approvazione provvisoria degli esiti della valutazione</w:t>
      </w:r>
      <w:bookmarkEnd w:id="87"/>
      <w:bookmarkEnd w:id="88"/>
    </w:p>
    <w:p>
      <w:pPr>
        <w:pStyle w:val="ListParagraph"/>
        <w:widowControl/>
        <w:numPr>
          <w:ilvl w:val="0"/>
          <w:numId w:val="29"/>
        </w:numPr>
        <w:spacing w:before="0" w:after="120"/>
        <w:ind w:left="357" w:hanging="357"/>
        <w:contextualSpacing w:val="false"/>
        <w:jc w:val="both"/>
        <w:rPr>
          <w:rFonts w:cs="Times New Roman"/>
          <w:color w:val="000009"/>
        </w:rPr>
      </w:pPr>
      <w:r>
        <w:rPr>
          <w:rFonts w:cs="Times New Roman"/>
          <w:color w:val="000009"/>
        </w:rPr>
        <w:t>L’Amministrazione pubblica sui siti istituzionali le graduatorie provvisorie, con indicazione delle operazioni finanziabili, nonché delle operazioni non ammesse e delle relative motivazioni.</w:t>
      </w:r>
    </w:p>
    <w:p>
      <w:pPr>
        <w:pStyle w:val="ListParagraph"/>
        <w:widowControl/>
        <w:numPr>
          <w:ilvl w:val="0"/>
          <w:numId w:val="29"/>
        </w:numPr>
        <w:spacing w:before="0" w:after="120"/>
        <w:contextualSpacing w:val="false"/>
        <w:jc w:val="both"/>
        <w:rPr>
          <w:rFonts w:cs="Times New Roman"/>
          <w:color w:val="000009"/>
        </w:rPr>
      </w:pPr>
      <w:r>
        <w:rPr>
          <w:rFonts w:cs="Times New Roman"/>
          <w:color w:val="000009"/>
        </w:rPr>
        <w:t>I beneficiari hanno la possibilità di esercitare il diritto di accesso entro 5 giorni dalla pubblicazione degli elenchi provvisori e possono presentare istanza di riesame entro i 5 giorni successivi all’accesso. L’Amministrazione, a fronte di istanze motivate e ritenute fondate, provvede a modificare gli elenchi.</w:t>
      </w:r>
    </w:p>
    <w:p>
      <w:pPr>
        <w:pStyle w:val="ListParagraph"/>
        <w:widowControl/>
        <w:numPr>
          <w:ilvl w:val="0"/>
          <w:numId w:val="29"/>
        </w:numPr>
        <w:spacing w:before="0" w:after="120"/>
        <w:contextualSpacing w:val="false"/>
        <w:jc w:val="both"/>
        <w:rPr>
          <w:rFonts w:cs="Times New Roman"/>
          <w:color w:val="000009"/>
        </w:rPr>
      </w:pPr>
      <w:r>
        <w:rPr>
          <w:rFonts w:cs="Times New Roman"/>
          <w:color w:val="000009"/>
        </w:rPr>
        <w:t>La valutazione delle istanze di riesame si dovrà svolgere in tempi proporzionati al numero delle istanze pervenute e, in ogni caso, si concluderà entro 15 giorni dalla presentazione dell’istanza di riesame.</w:t>
      </w:r>
    </w:p>
    <w:p>
      <w:pPr>
        <w:pStyle w:val="Normal"/>
        <w:jc w:val="both"/>
        <w:rPr>
          <w:rFonts w:cs="Times New Roman"/>
          <w:color w:val="000009"/>
        </w:rPr>
      </w:pPr>
      <w:r>
        <w:rPr>
          <w:rFonts w:cs="Times New Roman"/>
          <w:color w:val="000009"/>
        </w:rPr>
      </w:r>
    </w:p>
    <w:p>
      <w:pPr>
        <w:pStyle w:val="Titolo2"/>
        <w:widowControl/>
        <w:numPr>
          <w:ilvl w:val="1"/>
          <w:numId w:val="28"/>
        </w:numPr>
        <w:tabs>
          <w:tab w:val="clear" w:pos="720"/>
          <w:tab w:val="left" w:pos="426" w:leader="none"/>
        </w:tabs>
        <w:spacing w:before="0" w:after="120"/>
        <w:ind w:left="357" w:hanging="357"/>
        <w:jc w:val="both"/>
        <w:rPr>
          <w:rFonts w:ascii="Titillium Web" w:hAnsi="Titillium Web" w:cs="Times New Roman"/>
          <w:b/>
          <w:b/>
          <w:bCs/>
          <w:color w:val="auto"/>
          <w:sz w:val="24"/>
          <w:szCs w:val="24"/>
        </w:rPr>
      </w:pPr>
      <w:bookmarkStart w:id="89" w:name="_Toc215218264"/>
      <w:bookmarkStart w:id="90" w:name="_Toc214529869"/>
      <w:r>
        <w:rPr>
          <w:rFonts w:cs="Times New Roman" w:ascii="Titillium Web" w:hAnsi="Titillium Web"/>
          <w:b/>
          <w:bCs/>
          <w:color w:val="auto"/>
          <w:sz w:val="24"/>
          <w:szCs w:val="24"/>
        </w:rPr>
        <w:t>Pubblicazione degli esiti della valutazione e finanziamento dell’operazione</w:t>
      </w:r>
      <w:bookmarkEnd w:id="89"/>
      <w:bookmarkEnd w:id="90"/>
    </w:p>
    <w:p>
      <w:pPr>
        <w:pStyle w:val="ListParagraph"/>
        <w:widowControl/>
        <w:numPr>
          <w:ilvl w:val="0"/>
          <w:numId w:val="30"/>
        </w:numPr>
        <w:spacing w:before="0" w:after="120"/>
        <w:ind w:left="357" w:hanging="357"/>
        <w:contextualSpacing w:val="false"/>
        <w:jc w:val="both"/>
        <w:rPr>
          <w:rFonts w:cs="Times New Roman"/>
          <w:color w:val="000009"/>
        </w:rPr>
      </w:pPr>
      <w:r>
        <w:rPr>
          <w:rFonts w:cs="Times New Roman"/>
          <w:color w:val="000009"/>
        </w:rPr>
        <w:t>Le domande saranno finanziate fino ad esaurimento delle risorse disponibili di cui al par. 1.3.</w:t>
      </w:r>
    </w:p>
    <w:p>
      <w:pPr>
        <w:pStyle w:val="ListParagraph"/>
        <w:widowControl/>
        <w:numPr>
          <w:ilvl w:val="0"/>
          <w:numId w:val="30"/>
        </w:numPr>
        <w:spacing w:before="0" w:after="120"/>
        <w:ind w:left="357" w:hanging="357"/>
        <w:contextualSpacing w:val="false"/>
        <w:jc w:val="both"/>
        <w:rPr>
          <w:rFonts w:cs="Times New Roman"/>
          <w:color w:val="000009"/>
        </w:rPr>
      </w:pPr>
      <w:r>
        <w:rPr>
          <w:rFonts w:cs="Times New Roman"/>
          <w:color w:val="000009"/>
        </w:rPr>
        <w:t>L’elenco dei beneficiari è approvato e pubblicato sui siti istituzionali.</w:t>
      </w:r>
    </w:p>
    <w:p>
      <w:pPr>
        <w:pStyle w:val="ListParagraph"/>
        <w:widowControl/>
        <w:numPr>
          <w:ilvl w:val="0"/>
          <w:numId w:val="26"/>
        </w:numPr>
        <w:spacing w:before="0" w:after="120"/>
        <w:ind w:left="357" w:hanging="357"/>
        <w:contextualSpacing w:val="false"/>
        <w:jc w:val="both"/>
        <w:rPr>
          <w:rFonts w:cs="Times New Roman"/>
          <w:color w:val="000009"/>
        </w:rPr>
      </w:pPr>
      <w:r>
        <w:rPr>
          <w:rFonts w:cs="Times New Roman"/>
          <w:color w:val="000009"/>
        </w:rPr>
        <w:t>L’elenco definitivo dei beneficiari di operazioni finanziabili.</w:t>
      </w:r>
    </w:p>
    <w:p>
      <w:pPr>
        <w:pStyle w:val="ListParagraph"/>
        <w:widowControl/>
        <w:numPr>
          <w:ilvl w:val="0"/>
          <w:numId w:val="26"/>
        </w:numPr>
        <w:spacing w:before="0" w:after="120"/>
        <w:ind w:left="357" w:hanging="357"/>
        <w:contextualSpacing w:val="false"/>
        <w:jc w:val="both"/>
        <w:rPr>
          <w:rFonts w:cs="Times New Roman"/>
          <w:color w:val="000009"/>
        </w:rPr>
      </w:pPr>
      <w:r>
        <w:rPr>
          <w:rFonts w:cs="Times New Roman"/>
          <w:color w:val="000009"/>
        </w:rPr>
        <w:t>L’elenco dei soggetti titolari di operazioni non finanziabili.</w:t>
      </w:r>
    </w:p>
    <w:p>
      <w:pPr>
        <w:pStyle w:val="ListParagraph"/>
        <w:widowControl/>
        <w:numPr>
          <w:ilvl w:val="0"/>
          <w:numId w:val="30"/>
        </w:numPr>
        <w:spacing w:before="0" w:after="120"/>
        <w:ind w:left="357" w:hanging="357"/>
        <w:contextualSpacing w:val="false"/>
        <w:jc w:val="both"/>
        <w:rPr>
          <w:rFonts w:cs="Times New Roman"/>
          <w:color w:val="000009"/>
        </w:rPr>
      </w:pPr>
      <w:r>
        <w:rPr>
          <w:rFonts w:cs="Times New Roman"/>
          <w:color w:val="000009"/>
        </w:rPr>
        <w:t>Con successivo provvedimento si provvede altresì a:</w:t>
      </w:r>
    </w:p>
    <w:p>
      <w:pPr>
        <w:pStyle w:val="ListParagraph"/>
        <w:widowControl/>
        <w:numPr>
          <w:ilvl w:val="0"/>
          <w:numId w:val="55"/>
        </w:numPr>
        <w:spacing w:before="0" w:after="120"/>
        <w:ind w:left="714" w:hanging="357"/>
        <w:contextualSpacing w:val="false"/>
        <w:jc w:val="both"/>
        <w:rPr>
          <w:rFonts w:cs="Times New Roman"/>
          <w:color w:val="000009"/>
        </w:rPr>
      </w:pPr>
      <w:r>
        <w:rPr>
          <w:rFonts w:cs="Times New Roman"/>
          <w:color w:val="000009"/>
        </w:rPr>
        <w:t>concedere il finanziamento a favore dei beneficiari ammessi nei limiti delle risorse disponibili, fatta salva la verifica della documentazione di cui al successivo punto 4.9;</w:t>
      </w:r>
    </w:p>
    <w:p>
      <w:pPr>
        <w:pStyle w:val="ListParagraph"/>
        <w:widowControl/>
        <w:numPr>
          <w:ilvl w:val="0"/>
          <w:numId w:val="55"/>
        </w:numPr>
        <w:spacing w:before="0" w:after="120"/>
        <w:ind w:left="714" w:hanging="357"/>
        <w:contextualSpacing w:val="false"/>
        <w:jc w:val="both"/>
        <w:rPr>
          <w:rFonts w:cs="Times New Roman"/>
          <w:color w:val="000009"/>
        </w:rPr>
      </w:pPr>
      <w:r>
        <w:rPr>
          <w:rFonts w:cs="Times New Roman"/>
          <w:color w:val="000009"/>
        </w:rPr>
        <w:t>assumere l’impegno contabile a favore di ogni beneficiario finanziato.</w:t>
      </w:r>
    </w:p>
    <w:p>
      <w:pPr>
        <w:pStyle w:val="Normal"/>
        <w:jc w:val="both"/>
        <w:rPr>
          <w:rFonts w:cs="Times New Roman"/>
          <w:color w:val="000009"/>
        </w:rPr>
      </w:pPr>
      <w:r>
        <w:rPr>
          <w:rFonts w:cs="Times New Roman"/>
          <w:color w:val="000009"/>
        </w:rPr>
      </w:r>
    </w:p>
    <w:p>
      <w:pPr>
        <w:pStyle w:val="Titolo2"/>
        <w:widowControl/>
        <w:numPr>
          <w:ilvl w:val="1"/>
          <w:numId w:val="28"/>
        </w:numPr>
        <w:spacing w:before="0" w:after="120"/>
        <w:ind w:left="357" w:hanging="357"/>
        <w:jc w:val="both"/>
        <w:rPr>
          <w:rFonts w:ascii="Titillium Web" w:hAnsi="Titillium Web" w:cs="Times New Roman"/>
          <w:b/>
          <w:b/>
          <w:bCs/>
          <w:color w:val="auto"/>
          <w:sz w:val="24"/>
          <w:szCs w:val="24"/>
        </w:rPr>
      </w:pPr>
      <w:bookmarkStart w:id="91" w:name="_Toc215218265"/>
      <w:bookmarkStart w:id="92" w:name="_Toc214529870"/>
      <w:r>
        <w:rPr>
          <w:rFonts w:cs="Times New Roman" w:ascii="Titillium Web" w:hAnsi="Titillium Web"/>
          <w:b/>
          <w:bCs/>
          <w:color w:val="auto"/>
          <w:sz w:val="24"/>
          <w:szCs w:val="24"/>
        </w:rPr>
        <w:t>Comunicazione ai richiedenti degli esiti della selezione e adempimenti conseguent</w:t>
      </w:r>
      <w:bookmarkEnd w:id="92"/>
      <w:r>
        <w:rPr>
          <w:rFonts w:cs="Times New Roman" w:ascii="Titillium Web" w:hAnsi="Titillium Web"/>
          <w:b/>
          <w:bCs/>
          <w:color w:val="auto"/>
          <w:sz w:val="24"/>
          <w:szCs w:val="24"/>
        </w:rPr>
        <w:t>i</w:t>
      </w:r>
      <w:bookmarkEnd w:id="91"/>
    </w:p>
    <w:p>
      <w:pPr>
        <w:pStyle w:val="ListParagraph"/>
        <w:widowControl/>
        <w:numPr>
          <w:ilvl w:val="0"/>
          <w:numId w:val="31"/>
        </w:numPr>
        <w:spacing w:before="0" w:after="120"/>
        <w:ind w:left="357" w:hanging="357"/>
        <w:contextualSpacing w:val="false"/>
        <w:jc w:val="both"/>
        <w:rPr>
          <w:rFonts w:cs="Times New Roman"/>
          <w:color w:val="000009"/>
        </w:rPr>
      </w:pPr>
      <w:r>
        <w:rPr>
          <w:rFonts w:cs="Times New Roman"/>
          <w:color w:val="000009"/>
        </w:rPr>
        <w:t>La pubblicazione sui siti istituzionali degli atti di concessione costituisce notifica degli esiti della valutazione a tutti gli effetti.</w:t>
      </w:r>
    </w:p>
    <w:p>
      <w:pPr>
        <w:pStyle w:val="ListParagraph"/>
        <w:widowControl/>
        <w:numPr>
          <w:ilvl w:val="0"/>
          <w:numId w:val="31"/>
        </w:numPr>
        <w:spacing w:before="0" w:after="120"/>
        <w:ind w:left="357" w:hanging="357"/>
        <w:contextualSpacing w:val="false"/>
        <w:jc w:val="both"/>
        <w:rPr>
          <w:rFonts w:cs="Times New Roman"/>
          <w:color w:val="000009"/>
        </w:rPr>
      </w:pPr>
      <w:r>
        <w:rPr>
          <w:rFonts w:cs="Times New Roman"/>
          <w:color w:val="000009"/>
        </w:rPr>
        <w:t xml:space="preserve">Gli Obblighi del Beneficiario sono quelli rilevabili dal presente avviso e si intendono assunti a qualsiasi titolo dal soggetto beneficiario con la sottoscrizione del modulo di domanda e dal formulario di progetto e dell’atto di adesione e obbligo di cui al successivo punto 4.10. </w:t>
      </w:r>
    </w:p>
    <w:p>
      <w:pPr>
        <w:pStyle w:val="ListParagraph"/>
        <w:widowControl/>
        <w:numPr>
          <w:ilvl w:val="0"/>
          <w:numId w:val="31"/>
        </w:numPr>
        <w:spacing w:before="0" w:after="120"/>
        <w:ind w:left="357" w:hanging="357"/>
        <w:contextualSpacing w:val="false"/>
        <w:jc w:val="both"/>
        <w:rPr>
          <w:rFonts w:cs="Times New Roman"/>
          <w:color w:val="000009"/>
        </w:rPr>
      </w:pPr>
      <w:r>
        <w:rPr>
          <w:rFonts w:cs="Times New Roman"/>
          <w:color w:val="000009"/>
        </w:rPr>
        <w:t>Tutte le comunicazioni tra l’Amministrazione e il beneficiario avverranno esclusivamente via PEC.</w:t>
      </w:r>
    </w:p>
    <w:p>
      <w:pPr>
        <w:pStyle w:val="ListParagraph"/>
        <w:widowControl/>
        <w:spacing w:before="0" w:after="0"/>
        <w:ind w:left="0" w:hanging="0"/>
        <w:contextualSpacing w:val="false"/>
        <w:jc w:val="both"/>
        <w:rPr>
          <w:rFonts w:cs="Times New Roman"/>
          <w:color w:val="000009"/>
        </w:rPr>
      </w:pPr>
      <w:r>
        <w:rPr>
          <w:rFonts w:cs="Times New Roman"/>
          <w:color w:val="000009"/>
        </w:rPr>
      </w:r>
    </w:p>
    <w:p>
      <w:pPr>
        <w:pStyle w:val="Titolo2"/>
        <w:widowControl/>
        <w:numPr>
          <w:ilvl w:val="1"/>
          <w:numId w:val="28"/>
        </w:numPr>
        <w:spacing w:before="0" w:after="120"/>
        <w:ind w:left="357" w:hanging="357"/>
        <w:jc w:val="both"/>
        <w:rPr>
          <w:rFonts w:ascii="Titillium Web" w:hAnsi="Titillium Web" w:cs="Times New Roman"/>
          <w:b/>
          <w:b/>
          <w:bCs/>
          <w:color w:val="auto"/>
          <w:sz w:val="24"/>
          <w:szCs w:val="24"/>
        </w:rPr>
      </w:pPr>
      <w:bookmarkStart w:id="93" w:name="_Toc215218266"/>
      <w:bookmarkStart w:id="94" w:name="_Toc214529871"/>
      <w:r>
        <w:rPr>
          <w:rFonts w:cs="Times New Roman" w:ascii="Titillium Web" w:hAnsi="Titillium Web"/>
          <w:b/>
          <w:bCs/>
          <w:color w:val="auto"/>
          <w:sz w:val="24"/>
          <w:szCs w:val="24"/>
        </w:rPr>
        <w:t>Sottoscrizione dell’Atto di Adesione ed Obbligo e produzione della documentazione richiesta</w:t>
      </w:r>
      <w:bookmarkEnd w:id="93"/>
      <w:bookmarkEnd w:id="94"/>
    </w:p>
    <w:p>
      <w:pPr>
        <w:pStyle w:val="ListParagraph"/>
        <w:widowControl/>
        <w:numPr>
          <w:ilvl w:val="0"/>
          <w:numId w:val="32"/>
        </w:numPr>
        <w:spacing w:before="0" w:after="120"/>
        <w:ind w:left="357" w:hanging="357"/>
        <w:contextualSpacing w:val="false"/>
        <w:jc w:val="both"/>
        <w:rPr>
          <w:rFonts w:cs="Times New Roman"/>
          <w:color w:val="000009"/>
        </w:rPr>
      </w:pPr>
      <w:r>
        <w:rPr>
          <w:rFonts w:cs="Times New Roman"/>
          <w:color w:val="000009"/>
        </w:rPr>
        <w:t>Entro 10 giorni dalla pubblicazione del provvedimento di concessione, il beneficiario trasmette all’Amministrazione la eventuale documentazione richiesta per la sottoscrizione dell’Atto di Adesione ed Obbligo (che sarà messo a disposizione dall’Amministrazione) in relazione alla tipologia di intervento.</w:t>
      </w:r>
    </w:p>
    <w:p>
      <w:pPr>
        <w:pStyle w:val="ListParagraph"/>
        <w:widowControl/>
        <w:numPr>
          <w:ilvl w:val="0"/>
          <w:numId w:val="32"/>
        </w:numPr>
        <w:spacing w:before="0" w:after="120"/>
        <w:ind w:left="357" w:hanging="357"/>
        <w:contextualSpacing w:val="false"/>
        <w:jc w:val="both"/>
        <w:rPr>
          <w:rFonts w:cs="Times New Roman"/>
          <w:color w:val="000009"/>
        </w:rPr>
      </w:pPr>
      <w:r>
        <w:rPr>
          <w:rFonts w:cs="Times New Roman"/>
          <w:color w:val="000009"/>
        </w:rPr>
        <w:t xml:space="preserve"> </w:t>
      </w:r>
      <w:r>
        <w:rPr>
          <w:rFonts w:cs="Times New Roman"/>
          <w:color w:val="000009"/>
        </w:rPr>
        <w:t>In caso di mancata comunicazione entro i termini previsti il beneficiario perde il diritto al contributo e l’Amministrazione avvia le procedure di decadenza dal finanziamento, fatta salva l'ipotesi in cui il beneficiario, entro lo stesso termine non richieda, esplicitandone le motivazioni, una proroga del termine medesimo. Tale proroga non potrà essere superiore a 10 giorni, e può essere concessa solo una volta.</w:t>
      </w:r>
    </w:p>
    <w:p>
      <w:pPr>
        <w:pStyle w:val="ListParagraph"/>
        <w:widowControl/>
        <w:numPr>
          <w:ilvl w:val="0"/>
          <w:numId w:val="32"/>
        </w:numPr>
        <w:spacing w:before="0" w:after="120"/>
        <w:ind w:left="357" w:hanging="357"/>
        <w:contextualSpacing w:val="false"/>
        <w:jc w:val="both"/>
        <w:rPr>
          <w:rFonts w:cs="Times New Roman"/>
          <w:color w:val="000009"/>
        </w:rPr>
      </w:pPr>
      <w:r>
        <w:rPr>
          <w:rFonts w:cs="Times New Roman"/>
          <w:color w:val="000009"/>
        </w:rPr>
        <w:t>L’Amministrazione verifica la documentazione prodotta dal beneficiario. La durata del processo di verifica della documentazione trasmessa dal beneficiario non si protrarrà oltre 30 giorni dalla presentazione della stessa.</w:t>
      </w:r>
    </w:p>
    <w:p>
      <w:pPr>
        <w:pStyle w:val="Normal"/>
        <w:jc w:val="both"/>
        <w:rPr>
          <w:rFonts w:cs="Times New Roman"/>
          <w:color w:val="000009"/>
        </w:rPr>
      </w:pPr>
      <w:r>
        <w:rPr>
          <w:rFonts w:cs="Times New Roman"/>
          <w:color w:val="000009"/>
        </w:rPr>
      </w:r>
    </w:p>
    <w:p>
      <w:pPr>
        <w:pStyle w:val="Titolo2"/>
        <w:widowControl/>
        <w:numPr>
          <w:ilvl w:val="1"/>
          <w:numId w:val="28"/>
        </w:numPr>
        <w:spacing w:before="0" w:after="120"/>
        <w:ind w:left="357" w:hanging="357"/>
        <w:jc w:val="both"/>
        <w:rPr>
          <w:rFonts w:ascii="Titillium Web" w:hAnsi="Titillium Web" w:cs="Times New Roman"/>
          <w:b/>
          <w:b/>
          <w:bCs/>
          <w:color w:val="auto"/>
          <w:sz w:val="24"/>
          <w:szCs w:val="24"/>
        </w:rPr>
      </w:pPr>
      <w:bookmarkStart w:id="95" w:name="_Toc214529872"/>
      <w:r>
        <w:rPr>
          <w:rFonts w:cs="Times New Roman" w:ascii="Titillium Web" w:hAnsi="Titillium Web"/>
          <w:b/>
          <w:bCs/>
          <w:color w:val="auto"/>
          <w:sz w:val="22"/>
          <w:szCs w:val="22"/>
        </w:rPr>
        <w:t xml:space="preserve"> </w:t>
      </w:r>
      <w:bookmarkStart w:id="96" w:name="_Toc215218267"/>
      <w:r>
        <w:rPr>
          <w:rFonts w:cs="Times New Roman" w:ascii="Titillium Web" w:hAnsi="Titillium Web"/>
          <w:b/>
          <w:bCs/>
          <w:color w:val="auto"/>
          <w:sz w:val="24"/>
          <w:szCs w:val="24"/>
        </w:rPr>
        <w:t>Modalità di erogazione del contributo finanziario e relativa documentazione giustificativa</w:t>
      </w:r>
      <w:bookmarkEnd w:id="95"/>
      <w:bookmarkEnd w:id="96"/>
    </w:p>
    <w:p>
      <w:pPr>
        <w:pStyle w:val="ListParagraph"/>
        <w:widowControl/>
        <w:numPr>
          <w:ilvl w:val="0"/>
          <w:numId w:val="33"/>
        </w:numPr>
        <w:spacing w:before="0" w:after="120"/>
        <w:ind w:left="357" w:hanging="357"/>
        <w:contextualSpacing w:val="false"/>
        <w:jc w:val="both"/>
        <w:rPr>
          <w:rFonts w:cs="Times New Roman"/>
          <w:color w:val="000009"/>
        </w:rPr>
      </w:pPr>
      <w:r>
        <w:rPr>
          <w:rFonts w:cs="Times New Roman"/>
          <w:color w:val="000009"/>
        </w:rPr>
        <w:t>L'erogazione del contributo concesso avverrà con le seguenti modalità:</w:t>
      </w:r>
    </w:p>
    <w:p>
      <w:pPr>
        <w:pStyle w:val="ListParagraph"/>
        <w:widowControl/>
        <w:numPr>
          <w:ilvl w:val="0"/>
          <w:numId w:val="34"/>
        </w:numPr>
        <w:spacing w:before="0" w:after="120"/>
        <w:ind w:left="714" w:hanging="357"/>
        <w:contextualSpacing w:val="false"/>
        <w:jc w:val="both"/>
        <w:rPr>
          <w:rFonts w:cs="Times New Roman"/>
          <w:color w:val="000009"/>
        </w:rPr>
      </w:pPr>
      <w:r>
        <w:rPr>
          <w:rFonts w:cs="Times New Roman"/>
          <w:color w:val="000009"/>
        </w:rPr>
        <w:t xml:space="preserve">erogazione di una </w:t>
      </w:r>
      <w:r>
        <w:rPr>
          <w:rFonts w:cs="Times New Roman"/>
          <w:b/>
          <w:bCs/>
          <w:color w:val="000009"/>
        </w:rPr>
        <w:t>anticipazione pari al 40% dell’importo del contributo concesso</w:t>
      </w:r>
      <w:r>
        <w:rPr>
          <w:rFonts w:cs="Times New Roman"/>
          <w:color w:val="000009"/>
        </w:rPr>
        <w:t xml:space="preserve"> a seguito di richiesta sottoscritta da parte del legale rappresentante del Beneficiario con contestuale presentazione di apposita fideiussione. </w:t>
      </w:r>
      <w:r>
        <w:rPr>
          <w:rFonts w:cs="Times New Roman"/>
          <w:b/>
          <w:bCs/>
          <w:color w:val="000009"/>
        </w:rPr>
        <w:t>La richiesta di anticipazione è prodotta dal beneficiario entro il termine massimo di 30 giorni</w:t>
      </w:r>
      <w:r>
        <w:rPr>
          <w:rFonts w:cs="Times New Roman"/>
          <w:color w:val="000009"/>
        </w:rPr>
        <w:t xml:space="preserve"> </w:t>
      </w:r>
      <w:r>
        <w:rPr>
          <w:rFonts w:cs="Times New Roman"/>
          <w:b/>
          <w:bCs/>
          <w:color w:val="000009"/>
        </w:rPr>
        <w:t>solari a far data dalla concessione dell’aiuto;</w:t>
      </w:r>
    </w:p>
    <w:p>
      <w:pPr>
        <w:pStyle w:val="ListParagraph"/>
        <w:widowControl/>
        <w:numPr>
          <w:ilvl w:val="0"/>
          <w:numId w:val="34"/>
        </w:numPr>
        <w:spacing w:before="0" w:after="120"/>
        <w:ind w:left="714" w:hanging="357"/>
        <w:contextualSpacing w:val="false"/>
        <w:jc w:val="both"/>
        <w:rPr>
          <w:rFonts w:cs="Times New Roman"/>
          <w:color w:val="000009"/>
        </w:rPr>
      </w:pPr>
      <w:r>
        <w:rPr>
          <w:rFonts w:cs="Times New Roman"/>
          <w:color w:val="000009"/>
        </w:rPr>
        <w:t xml:space="preserve">erogazione di un </w:t>
      </w:r>
      <w:r>
        <w:rPr>
          <w:rFonts w:cs="Times New Roman"/>
          <w:b/>
          <w:bCs/>
          <w:color w:val="000009"/>
        </w:rPr>
        <w:t>acconto pari al 50% del contributo</w:t>
      </w:r>
      <w:r>
        <w:rPr>
          <w:rFonts w:cs="Times New Roman"/>
          <w:color w:val="000009"/>
        </w:rPr>
        <w:t xml:space="preserve"> dietro presentazione della documentazione di cui al successivo comma 4;</w:t>
      </w:r>
    </w:p>
    <w:p>
      <w:pPr>
        <w:pStyle w:val="ListParagraph"/>
        <w:widowControl/>
        <w:numPr>
          <w:ilvl w:val="0"/>
          <w:numId w:val="34"/>
        </w:numPr>
        <w:spacing w:before="0" w:after="120"/>
        <w:ind w:left="714" w:hanging="357"/>
        <w:contextualSpacing w:val="false"/>
        <w:jc w:val="both"/>
        <w:rPr>
          <w:rFonts w:cs="Times New Roman"/>
          <w:color w:val="000009"/>
        </w:rPr>
      </w:pPr>
      <w:r>
        <w:rPr>
          <w:rFonts w:cs="Times New Roman"/>
          <w:color w:val="000009"/>
        </w:rPr>
        <w:t xml:space="preserve">erogazione finale del </w:t>
      </w:r>
      <w:r>
        <w:rPr>
          <w:rFonts w:cs="Times New Roman"/>
          <w:b/>
          <w:bCs/>
          <w:color w:val="000009"/>
        </w:rPr>
        <w:t>10% a saldo</w:t>
      </w:r>
      <w:r>
        <w:rPr>
          <w:rFonts w:cs="Times New Roman"/>
          <w:color w:val="000009"/>
        </w:rPr>
        <w:t>, previo ricevimento della documentazione di cui al successivo comma</w:t>
      </w:r>
      <w:bookmarkStart w:id="97" w:name="_Toc213405375"/>
      <w:bookmarkStart w:id="98" w:name="_Toc204619661"/>
      <w:r>
        <w:rPr>
          <w:rFonts w:cs="Times New Roman"/>
          <w:color w:val="000009"/>
        </w:rPr>
        <w:t xml:space="preserve"> 6.</w:t>
      </w:r>
    </w:p>
    <w:p>
      <w:pPr>
        <w:pStyle w:val="ListParagraph"/>
        <w:widowControl/>
        <w:numPr>
          <w:ilvl w:val="0"/>
          <w:numId w:val="33"/>
        </w:numPr>
        <w:spacing w:before="0" w:after="120"/>
        <w:ind w:left="357" w:hanging="357"/>
        <w:contextualSpacing w:val="false"/>
        <w:jc w:val="both"/>
        <w:rPr>
          <w:rFonts w:cs="Times New Roman"/>
          <w:color w:val="000009"/>
        </w:rPr>
      </w:pPr>
      <w:r>
        <w:rPr>
          <w:rFonts w:cs="Times New Roman"/>
          <w:color w:val="000009"/>
        </w:rPr>
        <w:t>La richiesta di erogazione del saldo è prodotta dal beneficiario entro il termine massimo di 30 giorni solari a far data dal termine di cui al punto 3.4 del presente avviso.</w:t>
      </w:r>
      <w:bookmarkEnd w:id="97"/>
      <w:bookmarkEnd w:id="98"/>
    </w:p>
    <w:p>
      <w:pPr>
        <w:pStyle w:val="ListParagraph"/>
        <w:widowControl/>
        <w:numPr>
          <w:ilvl w:val="0"/>
          <w:numId w:val="33"/>
        </w:numPr>
        <w:spacing w:before="0" w:after="120"/>
        <w:ind w:left="357" w:hanging="357"/>
        <w:contextualSpacing w:val="false"/>
        <w:jc w:val="both"/>
        <w:rPr>
          <w:rFonts w:cs="Times New Roman"/>
          <w:color w:val="000009"/>
        </w:rPr>
      </w:pPr>
      <w:r>
        <w:rPr>
          <w:rFonts w:cs="Times New Roman"/>
          <w:color w:val="000009"/>
        </w:rPr>
        <w:t>In particolare, lo schema di erogazione del contributo è il seguente:</w:t>
      </w:r>
    </w:p>
    <w:p>
      <w:pPr>
        <w:pStyle w:val="Normal"/>
        <w:spacing w:before="0" w:after="120"/>
        <w:jc w:val="both"/>
        <w:rPr>
          <w:rFonts w:cs="Times New Roman"/>
          <w:color w:val="000009"/>
        </w:rPr>
      </w:pPr>
      <w:r>
        <w:rPr>
          <w:rFonts w:cs="Times New Roman"/>
          <w:color w:val="000009"/>
        </w:rPr>
        <w:t xml:space="preserve"> </w:t>
      </w:r>
    </w:p>
    <w:p>
      <w:pPr>
        <w:pStyle w:val="Normal"/>
        <w:spacing w:before="0" w:after="120"/>
        <w:jc w:val="both"/>
        <w:rPr>
          <w:rFonts w:cs="Times New Roman"/>
          <w:b/>
          <w:b/>
          <w:bCs/>
          <w:color w:val="000009"/>
        </w:rPr>
      </w:pPr>
      <w:r>
        <w:rPr>
          <w:rFonts w:cs="Times New Roman"/>
          <w:b/>
          <w:bCs/>
          <w:color w:val="000009"/>
        </w:rPr>
        <w:t>Tab.1: Modalità di erogazione del contributo con anticipazione</w:t>
      </w:r>
    </w:p>
    <w:p>
      <w:pPr>
        <w:pStyle w:val="Normal"/>
        <w:jc w:val="both"/>
        <w:rPr>
          <w:rFonts w:cs="Times New Roman"/>
          <w:b/>
          <w:b/>
          <w:bCs/>
          <w:color w:val="000009"/>
        </w:rPr>
      </w:pPr>
      <w:r>
        <w:rPr>
          <w:rFonts w:cs="Times New Roman"/>
          <w:b/>
          <w:bCs/>
          <w:color w:val="000009"/>
        </w:rPr>
      </w:r>
    </w:p>
    <w:tbl>
      <w:tblPr>
        <w:tblStyle w:val="TableNormal"/>
        <w:tblW w:w="9418" w:type="dxa"/>
        <w:jc w:val="left"/>
        <w:tblInd w:w="-5" w:type="dxa"/>
        <w:tblLayout w:type="fixed"/>
        <w:tblCellMar>
          <w:top w:w="0" w:type="dxa"/>
          <w:left w:w="5" w:type="dxa"/>
          <w:bottom w:w="0" w:type="dxa"/>
          <w:right w:w="5" w:type="dxa"/>
        </w:tblCellMar>
        <w:tblLook w:firstRow="1" w:noVBand="0" w:lastRow="1" w:firstColumn="1" w:lastColumn="1" w:noHBand="0" w:val="01e0"/>
      </w:tblPr>
      <w:tblGrid>
        <w:gridCol w:w="3539"/>
        <w:gridCol w:w="1488"/>
        <w:gridCol w:w="1415"/>
        <w:gridCol w:w="1501"/>
        <w:gridCol w:w="1475"/>
      </w:tblGrid>
      <w:tr>
        <w:trPr>
          <w:trHeight w:val="220" w:hRule="atLeast"/>
        </w:trPr>
        <w:tc>
          <w:tcPr>
            <w:tcW w:w="3539" w:type="dxa"/>
            <w:vMerge w:val="restart"/>
            <w:tcBorders>
              <w:top w:val="single" w:sz="4" w:space="0" w:color="000000"/>
              <w:left w:val="single" w:sz="4" w:space="0" w:color="000000"/>
              <w:bottom w:val="single" w:sz="4" w:space="0" w:color="000000"/>
              <w:right w:val="single" w:sz="4" w:space="0" w:color="000000"/>
            </w:tcBorders>
            <w:shd w:color="auto" w:fill="D9D9D9" w:val="clear"/>
            <w:vAlign w:val="center"/>
          </w:tcPr>
          <w:p>
            <w:pPr>
              <w:pStyle w:val="Normal"/>
              <w:widowControl w:val="false"/>
              <w:spacing w:before="0" w:after="120"/>
              <w:jc w:val="center"/>
              <w:rPr>
                <w:rFonts w:cs="Times New Roman"/>
                <w:b/>
                <w:b/>
                <w:bCs/>
                <w:color w:val="000009"/>
                <w:sz w:val="20"/>
                <w:szCs w:val="20"/>
              </w:rPr>
            </w:pPr>
            <w:r>
              <w:rPr>
                <w:rFonts w:cs="Times New Roman"/>
                <w:b/>
                <w:bCs/>
                <w:color w:val="000009"/>
                <w:kern w:val="0"/>
                <w:sz w:val="20"/>
                <w:szCs w:val="20"/>
                <w:lang w:eastAsia="en-US" w:bidi="ar-SA"/>
              </w:rPr>
              <w:t>Anticipazione contributo</w:t>
            </w:r>
          </w:p>
          <w:p>
            <w:pPr>
              <w:pStyle w:val="Normal"/>
              <w:widowControl w:val="false"/>
              <w:spacing w:before="0" w:after="120"/>
              <w:jc w:val="center"/>
              <w:rPr>
                <w:rFonts w:cs="Times New Roman"/>
                <w:b/>
                <w:b/>
                <w:bCs/>
                <w:color w:val="000009"/>
                <w:sz w:val="20"/>
                <w:szCs w:val="20"/>
              </w:rPr>
            </w:pPr>
            <w:r>
              <w:rPr>
                <w:rFonts w:cs="Times New Roman"/>
                <w:b/>
                <w:bCs/>
                <w:color w:val="000009"/>
                <w:kern w:val="0"/>
                <w:sz w:val="20"/>
                <w:szCs w:val="20"/>
                <w:lang w:eastAsia="en-US" w:bidi="ar-SA"/>
              </w:rPr>
              <w:t>(valore %)</w:t>
            </w:r>
          </w:p>
        </w:tc>
        <w:tc>
          <w:tcPr>
            <w:tcW w:w="2903" w:type="dxa"/>
            <w:gridSpan w:val="2"/>
            <w:tcBorders>
              <w:top w:val="single" w:sz="4" w:space="0" w:color="000000"/>
              <w:left w:val="single" w:sz="4" w:space="0" w:color="000000"/>
              <w:bottom w:val="single" w:sz="4" w:space="0" w:color="000000"/>
              <w:right w:val="single" w:sz="4" w:space="0" w:color="000000"/>
            </w:tcBorders>
            <w:shd w:color="auto" w:fill="D9D9D9" w:val="clear"/>
            <w:vAlign w:val="center"/>
          </w:tcPr>
          <w:p>
            <w:pPr>
              <w:pStyle w:val="Normal"/>
              <w:widowControl w:val="false"/>
              <w:spacing w:before="0" w:after="120"/>
              <w:jc w:val="center"/>
              <w:rPr>
                <w:rFonts w:cs="Times New Roman"/>
                <w:b/>
                <w:b/>
                <w:bCs/>
                <w:color w:val="000009"/>
                <w:sz w:val="20"/>
                <w:szCs w:val="20"/>
              </w:rPr>
            </w:pPr>
            <w:r>
              <w:rPr>
                <w:rFonts w:cs="Times New Roman"/>
                <w:b/>
                <w:bCs/>
                <w:color w:val="000009"/>
                <w:kern w:val="0"/>
                <w:sz w:val="20"/>
                <w:szCs w:val="20"/>
                <w:lang w:eastAsia="en-US" w:bidi="ar-SA"/>
              </w:rPr>
              <w:t>1° Acconto</w:t>
            </w:r>
          </w:p>
        </w:tc>
        <w:tc>
          <w:tcPr>
            <w:tcW w:w="2976" w:type="dxa"/>
            <w:gridSpan w:val="2"/>
            <w:tcBorders>
              <w:top w:val="single" w:sz="4" w:space="0" w:color="000000"/>
              <w:left w:val="single" w:sz="4" w:space="0" w:color="000000"/>
              <w:bottom w:val="single" w:sz="4" w:space="0" w:color="000000"/>
              <w:right w:val="single" w:sz="4" w:space="0" w:color="000000"/>
            </w:tcBorders>
            <w:shd w:color="auto" w:fill="D9D9D9" w:val="clear"/>
            <w:vAlign w:val="center"/>
          </w:tcPr>
          <w:p>
            <w:pPr>
              <w:pStyle w:val="Normal"/>
              <w:widowControl w:val="false"/>
              <w:spacing w:before="0" w:after="120"/>
              <w:jc w:val="center"/>
              <w:rPr>
                <w:rFonts w:cs="Times New Roman"/>
                <w:b/>
                <w:b/>
                <w:bCs/>
                <w:color w:val="000009"/>
                <w:sz w:val="20"/>
                <w:szCs w:val="20"/>
              </w:rPr>
            </w:pPr>
            <w:r>
              <w:rPr>
                <w:rFonts w:cs="Times New Roman"/>
                <w:b/>
                <w:bCs/>
                <w:color w:val="000009"/>
                <w:kern w:val="0"/>
                <w:sz w:val="20"/>
                <w:szCs w:val="20"/>
                <w:lang w:eastAsia="en-US" w:bidi="ar-SA"/>
              </w:rPr>
              <w:t>Saldo</w:t>
            </w:r>
          </w:p>
        </w:tc>
      </w:tr>
      <w:tr>
        <w:trPr>
          <w:trHeight w:val="438" w:hRule="atLeast"/>
        </w:trPr>
        <w:tc>
          <w:tcPr>
            <w:tcW w:w="3539" w:type="dxa"/>
            <w:vMerge w:val="continue"/>
            <w:tcBorders>
              <w:left w:val="single" w:sz="4" w:space="0" w:color="000000"/>
              <w:bottom w:val="single" w:sz="4" w:space="0" w:color="000000"/>
              <w:right w:val="single" w:sz="4" w:space="0" w:color="000000"/>
            </w:tcBorders>
            <w:shd w:color="auto" w:fill="D9D9D9" w:val="clear"/>
          </w:tcPr>
          <w:p>
            <w:pPr>
              <w:pStyle w:val="Normal"/>
              <w:widowControl w:val="false"/>
              <w:spacing w:before="0" w:after="120"/>
              <w:jc w:val="both"/>
              <w:rPr>
                <w:rFonts w:cs="Times New Roman"/>
                <w:color w:val="000009"/>
                <w:sz w:val="20"/>
                <w:szCs w:val="20"/>
              </w:rPr>
            </w:pPr>
            <w:r>
              <w:rPr>
                <w:rFonts w:cs="Times New Roman"/>
                <w:color w:val="000009"/>
                <w:kern w:val="0"/>
                <w:sz w:val="22"/>
                <w:szCs w:val="22"/>
                <w:lang w:eastAsia="en-US" w:bidi="ar-SA"/>
              </w:rPr>
            </w:r>
          </w:p>
        </w:tc>
        <w:tc>
          <w:tcPr>
            <w:tcW w:w="1488" w:type="dxa"/>
            <w:tcBorders>
              <w:top w:val="single" w:sz="4" w:space="0" w:color="000000"/>
              <w:left w:val="single" w:sz="4" w:space="0" w:color="000000"/>
              <w:bottom w:val="single" w:sz="4" w:space="0" w:color="000000"/>
              <w:right w:val="single" w:sz="4" w:space="0" w:color="000000"/>
            </w:tcBorders>
            <w:shd w:color="auto" w:fill="D9D9D9" w:val="clear"/>
            <w:vAlign w:val="center"/>
          </w:tcPr>
          <w:p>
            <w:pPr>
              <w:pStyle w:val="Normal"/>
              <w:widowControl w:val="false"/>
              <w:spacing w:before="0" w:after="120"/>
              <w:jc w:val="center"/>
              <w:rPr>
                <w:rFonts w:cs="Times New Roman"/>
                <w:b/>
                <w:b/>
                <w:bCs/>
                <w:color w:val="000009"/>
                <w:sz w:val="20"/>
                <w:szCs w:val="20"/>
              </w:rPr>
            </w:pPr>
            <w:r>
              <w:rPr>
                <w:rFonts w:cs="Times New Roman"/>
                <w:b/>
                <w:bCs/>
                <w:color w:val="000009"/>
                <w:kern w:val="0"/>
                <w:sz w:val="20"/>
                <w:szCs w:val="20"/>
                <w:lang w:eastAsia="en-US" w:bidi="ar-SA"/>
              </w:rPr>
              <w:t>(valore %</w:t>
            </w:r>
          </w:p>
          <w:p>
            <w:pPr>
              <w:pStyle w:val="Normal"/>
              <w:widowControl w:val="false"/>
              <w:spacing w:before="0" w:after="120"/>
              <w:jc w:val="center"/>
              <w:rPr>
                <w:rFonts w:cs="Times New Roman"/>
                <w:color w:val="000009"/>
                <w:sz w:val="20"/>
                <w:szCs w:val="20"/>
              </w:rPr>
            </w:pPr>
            <w:r>
              <w:rPr>
                <w:rFonts w:cs="Times New Roman"/>
                <w:b/>
                <w:bCs/>
                <w:color w:val="000009"/>
                <w:kern w:val="0"/>
                <w:sz w:val="20"/>
                <w:szCs w:val="20"/>
                <w:lang w:eastAsia="en-US" w:bidi="ar-SA"/>
              </w:rPr>
              <w:t>contributo)</w:t>
            </w:r>
          </w:p>
        </w:tc>
        <w:tc>
          <w:tcPr>
            <w:tcW w:w="1415" w:type="dxa"/>
            <w:tcBorders>
              <w:top w:val="single" w:sz="4" w:space="0" w:color="000000"/>
              <w:left w:val="single" w:sz="4" w:space="0" w:color="000000"/>
              <w:bottom w:val="single" w:sz="4" w:space="0" w:color="000000"/>
              <w:right w:val="single" w:sz="4" w:space="0" w:color="000000"/>
            </w:tcBorders>
            <w:shd w:color="auto" w:fill="D9D9D9" w:val="clear"/>
            <w:vAlign w:val="center"/>
          </w:tcPr>
          <w:p>
            <w:pPr>
              <w:pStyle w:val="Normal"/>
              <w:widowControl w:val="false"/>
              <w:spacing w:before="0" w:after="120"/>
              <w:jc w:val="center"/>
              <w:rPr>
                <w:rFonts w:cs="Times New Roman"/>
                <w:b/>
                <w:b/>
                <w:bCs/>
                <w:color w:val="000009"/>
                <w:sz w:val="20"/>
                <w:szCs w:val="20"/>
              </w:rPr>
            </w:pPr>
            <w:r>
              <w:rPr>
                <w:rFonts w:cs="Times New Roman"/>
                <w:b/>
                <w:bCs/>
                <w:color w:val="000009"/>
                <w:kern w:val="0"/>
                <w:sz w:val="20"/>
                <w:szCs w:val="20"/>
                <w:lang w:eastAsia="en-US" w:bidi="ar-SA"/>
              </w:rPr>
              <w:t>Avanzamento</w:t>
            </w:r>
          </w:p>
          <w:p>
            <w:pPr>
              <w:pStyle w:val="Normal"/>
              <w:widowControl w:val="false"/>
              <w:spacing w:before="0" w:after="120"/>
              <w:jc w:val="center"/>
              <w:rPr>
                <w:rFonts w:cs="Times New Roman"/>
                <w:b/>
                <w:b/>
                <w:bCs/>
                <w:color w:val="000009"/>
                <w:sz w:val="20"/>
                <w:szCs w:val="20"/>
              </w:rPr>
            </w:pPr>
            <w:r>
              <w:rPr>
                <w:rFonts w:cs="Times New Roman"/>
                <w:b/>
                <w:bCs/>
                <w:color w:val="000009"/>
                <w:kern w:val="0"/>
                <w:sz w:val="20"/>
                <w:szCs w:val="20"/>
                <w:lang w:eastAsia="en-US" w:bidi="ar-SA"/>
              </w:rPr>
              <w:t>della spesa</w:t>
            </w:r>
          </w:p>
        </w:tc>
        <w:tc>
          <w:tcPr>
            <w:tcW w:w="1501" w:type="dxa"/>
            <w:tcBorders>
              <w:top w:val="single" w:sz="4" w:space="0" w:color="000000"/>
              <w:left w:val="single" w:sz="4" w:space="0" w:color="000000"/>
              <w:bottom w:val="single" w:sz="4" w:space="0" w:color="000000"/>
              <w:right w:val="single" w:sz="4" w:space="0" w:color="000000"/>
            </w:tcBorders>
            <w:shd w:color="auto" w:fill="D9D9D9" w:val="clear"/>
            <w:vAlign w:val="center"/>
          </w:tcPr>
          <w:p>
            <w:pPr>
              <w:pStyle w:val="Normal"/>
              <w:widowControl w:val="false"/>
              <w:spacing w:before="0" w:after="120"/>
              <w:jc w:val="center"/>
              <w:rPr>
                <w:rFonts w:cs="Times New Roman"/>
                <w:b/>
                <w:b/>
                <w:bCs/>
                <w:color w:val="000009"/>
                <w:sz w:val="20"/>
                <w:szCs w:val="20"/>
              </w:rPr>
            </w:pPr>
            <w:r>
              <w:rPr>
                <w:rFonts w:cs="Times New Roman"/>
                <w:b/>
                <w:bCs/>
                <w:color w:val="000009"/>
                <w:kern w:val="0"/>
                <w:sz w:val="20"/>
                <w:szCs w:val="20"/>
                <w:lang w:eastAsia="en-US" w:bidi="ar-SA"/>
              </w:rPr>
              <w:t>(valore %</w:t>
            </w:r>
          </w:p>
          <w:p>
            <w:pPr>
              <w:pStyle w:val="Normal"/>
              <w:widowControl w:val="false"/>
              <w:spacing w:before="0" w:after="120"/>
              <w:jc w:val="center"/>
              <w:rPr>
                <w:rFonts w:cs="Times New Roman"/>
                <w:b/>
                <w:b/>
                <w:bCs/>
                <w:color w:val="000009"/>
                <w:sz w:val="20"/>
                <w:szCs w:val="20"/>
              </w:rPr>
            </w:pPr>
            <w:r>
              <w:rPr>
                <w:rFonts w:cs="Times New Roman"/>
                <w:b/>
                <w:bCs/>
                <w:color w:val="000009"/>
                <w:kern w:val="0"/>
                <w:sz w:val="20"/>
                <w:szCs w:val="20"/>
                <w:lang w:eastAsia="en-US" w:bidi="ar-SA"/>
              </w:rPr>
              <w:t>contributo)</w:t>
            </w:r>
          </w:p>
        </w:tc>
        <w:tc>
          <w:tcPr>
            <w:tcW w:w="1475" w:type="dxa"/>
            <w:tcBorders>
              <w:top w:val="single" w:sz="4" w:space="0" w:color="000000"/>
              <w:left w:val="single" w:sz="4" w:space="0" w:color="000000"/>
              <w:bottom w:val="single" w:sz="4" w:space="0" w:color="000000"/>
              <w:right w:val="single" w:sz="4" w:space="0" w:color="000000"/>
            </w:tcBorders>
            <w:shd w:color="auto" w:fill="D9D9D9" w:val="clear"/>
            <w:vAlign w:val="center"/>
          </w:tcPr>
          <w:p>
            <w:pPr>
              <w:pStyle w:val="Normal"/>
              <w:widowControl w:val="false"/>
              <w:spacing w:before="0" w:after="120"/>
              <w:jc w:val="center"/>
              <w:rPr>
                <w:rFonts w:cs="Times New Roman"/>
                <w:b/>
                <w:b/>
                <w:bCs/>
                <w:color w:val="000009"/>
                <w:sz w:val="20"/>
                <w:szCs w:val="20"/>
              </w:rPr>
            </w:pPr>
            <w:r>
              <w:rPr>
                <w:rFonts w:cs="Times New Roman"/>
                <w:b/>
                <w:bCs/>
                <w:color w:val="000009"/>
                <w:kern w:val="0"/>
                <w:sz w:val="20"/>
                <w:szCs w:val="20"/>
                <w:lang w:eastAsia="en-US" w:bidi="ar-SA"/>
              </w:rPr>
              <w:t>Avanzamento</w:t>
            </w:r>
          </w:p>
          <w:p>
            <w:pPr>
              <w:pStyle w:val="Normal"/>
              <w:widowControl w:val="false"/>
              <w:spacing w:before="0" w:after="120"/>
              <w:jc w:val="center"/>
              <w:rPr>
                <w:rFonts w:cs="Times New Roman"/>
                <w:b/>
                <w:b/>
                <w:bCs/>
                <w:color w:val="000009"/>
                <w:sz w:val="20"/>
                <w:szCs w:val="20"/>
              </w:rPr>
            </w:pPr>
            <w:r>
              <w:rPr>
                <w:rFonts w:cs="Times New Roman"/>
                <w:b/>
                <w:bCs/>
                <w:color w:val="000009"/>
                <w:kern w:val="0"/>
                <w:sz w:val="20"/>
                <w:szCs w:val="20"/>
                <w:lang w:eastAsia="en-US" w:bidi="ar-SA"/>
              </w:rPr>
              <w:t>della spesa</w:t>
            </w:r>
          </w:p>
        </w:tc>
      </w:tr>
      <w:tr>
        <w:trPr>
          <w:trHeight w:val="220" w:hRule="atLeast"/>
        </w:trPr>
        <w:tc>
          <w:tcPr>
            <w:tcW w:w="3539"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before="0" w:after="120"/>
              <w:jc w:val="center"/>
              <w:rPr>
                <w:rFonts w:cs="Times New Roman"/>
                <w:color w:val="000009"/>
              </w:rPr>
            </w:pPr>
            <w:r>
              <w:rPr>
                <w:rFonts w:cs="Times New Roman"/>
                <w:color w:val="000009"/>
                <w:kern w:val="0"/>
                <w:sz w:val="22"/>
                <w:szCs w:val="22"/>
                <w:lang w:eastAsia="en-US" w:bidi="ar-SA"/>
              </w:rPr>
              <w:t>40%</w:t>
            </w:r>
          </w:p>
        </w:tc>
        <w:tc>
          <w:tcPr>
            <w:tcW w:w="1488"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before="0" w:after="120"/>
              <w:jc w:val="center"/>
              <w:rPr>
                <w:rFonts w:cs="Times New Roman"/>
                <w:color w:val="000009"/>
              </w:rPr>
            </w:pPr>
            <w:r>
              <w:rPr>
                <w:rFonts w:cs="Times New Roman"/>
                <w:color w:val="000009"/>
                <w:kern w:val="0"/>
                <w:sz w:val="22"/>
                <w:szCs w:val="22"/>
                <w:lang w:eastAsia="en-US" w:bidi="ar-SA"/>
              </w:rPr>
              <w:t>50%</w:t>
            </w:r>
          </w:p>
        </w:tc>
        <w:tc>
          <w:tcPr>
            <w:tcW w:w="1415"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before="0" w:after="120"/>
              <w:jc w:val="center"/>
              <w:rPr>
                <w:rFonts w:cs="Times New Roman"/>
                <w:color w:val="000009"/>
              </w:rPr>
            </w:pPr>
            <w:r>
              <w:rPr>
                <w:rFonts w:cs="Times New Roman"/>
                <w:color w:val="000009"/>
                <w:kern w:val="0"/>
                <w:sz w:val="22"/>
                <w:szCs w:val="22"/>
                <w:lang w:eastAsia="en-US" w:bidi="ar-SA"/>
              </w:rPr>
              <w:t>50%</w:t>
            </w:r>
          </w:p>
        </w:tc>
        <w:tc>
          <w:tcPr>
            <w:tcW w:w="1501"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before="0" w:after="120"/>
              <w:jc w:val="center"/>
              <w:rPr>
                <w:rFonts w:cs="Times New Roman"/>
                <w:color w:val="000009"/>
              </w:rPr>
            </w:pPr>
            <w:r>
              <w:rPr>
                <w:rFonts w:cs="Times New Roman"/>
                <w:color w:val="000009"/>
                <w:kern w:val="0"/>
                <w:sz w:val="22"/>
                <w:szCs w:val="22"/>
                <w:lang w:eastAsia="en-US" w:bidi="ar-SA"/>
              </w:rPr>
              <w:t>10%</w:t>
            </w:r>
          </w:p>
        </w:tc>
        <w:tc>
          <w:tcPr>
            <w:tcW w:w="1475"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before="0" w:after="120"/>
              <w:jc w:val="center"/>
              <w:rPr>
                <w:rFonts w:cs="Times New Roman"/>
                <w:color w:val="000009"/>
              </w:rPr>
            </w:pPr>
            <w:r>
              <w:rPr>
                <w:rFonts w:cs="Times New Roman"/>
                <w:color w:val="000009"/>
                <w:kern w:val="0"/>
                <w:sz w:val="22"/>
                <w:szCs w:val="22"/>
                <w:lang w:eastAsia="en-US" w:bidi="ar-SA"/>
              </w:rPr>
              <w:t>100%</w:t>
            </w:r>
          </w:p>
        </w:tc>
      </w:tr>
    </w:tbl>
    <w:p>
      <w:pPr>
        <w:pStyle w:val="Normal"/>
        <w:jc w:val="both"/>
        <w:rPr>
          <w:rFonts w:cs="Times New Roman"/>
          <w:color w:val="000009"/>
        </w:rPr>
      </w:pPr>
      <w:r>
        <w:rPr>
          <w:rFonts w:cs="Times New Roman"/>
          <w:color w:val="000009"/>
        </w:rPr>
      </w:r>
    </w:p>
    <w:p>
      <w:pPr>
        <w:pStyle w:val="ListParagraph"/>
        <w:widowControl/>
        <w:numPr>
          <w:ilvl w:val="0"/>
          <w:numId w:val="33"/>
        </w:numPr>
        <w:spacing w:before="0" w:after="120"/>
        <w:ind w:left="357" w:hanging="357"/>
        <w:contextualSpacing w:val="false"/>
        <w:jc w:val="both"/>
        <w:rPr>
          <w:rFonts w:cs="Times New Roman"/>
          <w:color w:val="000009"/>
        </w:rPr>
      </w:pPr>
      <w:r>
        <w:rPr>
          <w:rFonts w:cs="Times New Roman"/>
          <w:color w:val="000009"/>
        </w:rPr>
        <w:t xml:space="preserve">La documentazione da presentare per la richiesta di </w:t>
      </w:r>
      <w:r>
        <w:rPr>
          <w:rFonts w:cs="Times New Roman"/>
          <w:b/>
          <w:bCs/>
          <w:color w:val="000009"/>
        </w:rPr>
        <w:t>anticipazione</w:t>
      </w:r>
      <w:r>
        <w:rPr>
          <w:rFonts w:cs="Times New Roman"/>
          <w:color w:val="000009"/>
        </w:rPr>
        <w:t xml:space="preserve"> è la seguente:</w:t>
      </w:r>
    </w:p>
    <w:p>
      <w:pPr>
        <w:pStyle w:val="ListParagraph"/>
        <w:widowControl/>
        <w:numPr>
          <w:ilvl w:val="0"/>
          <w:numId w:val="35"/>
        </w:numPr>
        <w:spacing w:before="0" w:after="120"/>
        <w:ind w:left="714" w:hanging="357"/>
        <w:contextualSpacing w:val="false"/>
        <w:jc w:val="both"/>
        <w:rPr>
          <w:rFonts w:cs="Times New Roman"/>
          <w:color w:val="000009"/>
        </w:rPr>
      </w:pPr>
      <w:r>
        <w:rPr>
          <w:rFonts w:cs="Times New Roman"/>
          <w:color w:val="000009"/>
        </w:rPr>
        <w:t>Richiesta di anticipazione secondo il format di cui all’Allegato G al presente Avviso, sottoscritta dal legale rappresentante dell’impresa;</w:t>
      </w:r>
    </w:p>
    <w:p>
      <w:pPr>
        <w:pStyle w:val="ListParagraph"/>
        <w:widowControl/>
        <w:numPr>
          <w:ilvl w:val="0"/>
          <w:numId w:val="35"/>
        </w:numPr>
        <w:spacing w:before="0" w:after="120"/>
        <w:ind w:left="714" w:hanging="357"/>
        <w:contextualSpacing w:val="false"/>
        <w:jc w:val="both"/>
        <w:rPr>
          <w:rFonts w:cs="Times New Roman"/>
          <w:color w:val="000009"/>
        </w:rPr>
      </w:pPr>
      <w:r>
        <w:rPr>
          <w:rFonts w:cs="Times New Roman"/>
          <w:color w:val="000009"/>
        </w:rPr>
        <w:t>Fideiussione, ai sensi del comma 1 e secondo il modello di cui in Allegato L al presente Avviso;</w:t>
      </w:r>
    </w:p>
    <w:p>
      <w:pPr>
        <w:pStyle w:val="ListParagraph"/>
        <w:widowControl/>
        <w:numPr>
          <w:ilvl w:val="0"/>
          <w:numId w:val="35"/>
        </w:numPr>
        <w:spacing w:before="0" w:after="120"/>
        <w:ind w:left="714" w:hanging="357"/>
        <w:contextualSpacing w:val="false"/>
        <w:jc w:val="both"/>
        <w:rPr>
          <w:rFonts w:cs="Times New Roman"/>
          <w:color w:val="000009"/>
        </w:rPr>
      </w:pPr>
      <w:r>
        <w:rPr>
          <w:rFonts w:cs="Times New Roman"/>
          <w:color w:val="000009"/>
        </w:rPr>
        <w:t>Documentazione attestante il possesso dei requisiti di cui al punto 2.</w:t>
      </w:r>
    </w:p>
    <w:p>
      <w:pPr>
        <w:pStyle w:val="ListParagraph"/>
        <w:widowControl/>
        <w:numPr>
          <w:ilvl w:val="0"/>
          <w:numId w:val="33"/>
        </w:numPr>
        <w:spacing w:before="0" w:after="120"/>
        <w:ind w:left="357" w:hanging="357"/>
        <w:contextualSpacing w:val="false"/>
        <w:jc w:val="both"/>
        <w:rPr>
          <w:rFonts w:cs="Times New Roman"/>
          <w:color w:val="000009"/>
        </w:rPr>
      </w:pPr>
      <w:r>
        <w:rPr>
          <w:rFonts w:cs="Times New Roman"/>
          <w:color w:val="000009"/>
        </w:rPr>
        <w:t xml:space="preserve">La documentazione da presentare per la richiesta di </w:t>
      </w:r>
      <w:r>
        <w:rPr>
          <w:rFonts w:cs="Times New Roman"/>
          <w:b/>
          <w:bCs/>
          <w:color w:val="000009"/>
        </w:rPr>
        <w:t>acconto di cui al precedente comma</w:t>
      </w:r>
      <w:r>
        <w:rPr>
          <w:rFonts w:cs="Times New Roman"/>
          <w:color w:val="000009"/>
        </w:rPr>
        <w:t xml:space="preserve"> </w:t>
      </w:r>
      <w:r>
        <w:rPr>
          <w:rFonts w:cs="Times New Roman"/>
          <w:b/>
          <w:bCs/>
          <w:color w:val="000009"/>
        </w:rPr>
        <w:t>1.B</w:t>
      </w:r>
      <w:r>
        <w:rPr>
          <w:rFonts w:cs="Times New Roman"/>
          <w:color w:val="000009"/>
        </w:rPr>
        <w:t xml:space="preserve"> è la seguente:</w:t>
      </w:r>
    </w:p>
    <w:p>
      <w:pPr>
        <w:pStyle w:val="ListParagraph"/>
        <w:widowControl/>
        <w:numPr>
          <w:ilvl w:val="0"/>
          <w:numId w:val="36"/>
        </w:numPr>
        <w:spacing w:before="0" w:after="120"/>
        <w:ind w:left="714" w:hanging="357"/>
        <w:contextualSpacing w:val="false"/>
        <w:jc w:val="both"/>
        <w:rPr>
          <w:rFonts w:cs="Times New Roman"/>
          <w:color w:val="000009"/>
        </w:rPr>
      </w:pPr>
      <w:r>
        <w:rPr>
          <w:rFonts w:cs="Times New Roman"/>
          <w:color w:val="000009"/>
        </w:rPr>
        <w:t>Richiesta di pagamento acconto, secondo il format di cui all’Allegato H al presente Avviso, sottoscritta dal legale rappresentante dell’impresa;</w:t>
      </w:r>
    </w:p>
    <w:p>
      <w:pPr>
        <w:pStyle w:val="ListParagraph"/>
        <w:widowControl/>
        <w:numPr>
          <w:ilvl w:val="0"/>
          <w:numId w:val="36"/>
        </w:numPr>
        <w:spacing w:before="0" w:after="120"/>
        <w:contextualSpacing w:val="false"/>
        <w:jc w:val="both"/>
        <w:rPr>
          <w:rFonts w:cs="Times New Roman"/>
          <w:color w:val="000009"/>
        </w:rPr>
      </w:pPr>
      <w:r>
        <w:rPr>
          <w:rFonts w:cs="Times New Roman"/>
          <w:color w:val="000009"/>
        </w:rPr>
        <w:t>Copia delle fatture annullate con apposta la seguente dicitura: “Documento contabile finanziato a valere sul progetto RC1.1.3.1.a - Sostegno alle Start – Up e PMI, CUP H39E24000040006;</w:t>
      </w:r>
    </w:p>
    <w:p>
      <w:pPr>
        <w:pStyle w:val="ListParagraph"/>
        <w:widowControl/>
        <w:numPr>
          <w:ilvl w:val="0"/>
          <w:numId w:val="36"/>
        </w:numPr>
        <w:spacing w:before="0" w:after="120"/>
        <w:ind w:left="714" w:hanging="357"/>
        <w:contextualSpacing w:val="false"/>
        <w:jc w:val="both"/>
        <w:rPr>
          <w:rFonts w:cs="Times New Roman"/>
          <w:color w:val="000009"/>
        </w:rPr>
      </w:pPr>
      <w:r>
        <w:rPr>
          <w:rFonts w:cs="Times New Roman"/>
          <w:color w:val="000009"/>
        </w:rPr>
        <w:t>Copia stralcio e/c bancario (o postale) da cui risultano gli addebiti dei pagamenti effettuati ai diversi fornitori.</w:t>
      </w:r>
    </w:p>
    <w:p>
      <w:pPr>
        <w:pStyle w:val="ListParagraph"/>
        <w:widowControl/>
        <w:numPr>
          <w:ilvl w:val="0"/>
          <w:numId w:val="33"/>
        </w:numPr>
        <w:spacing w:before="0" w:after="120"/>
        <w:ind w:left="357" w:hanging="357"/>
        <w:contextualSpacing w:val="false"/>
        <w:jc w:val="both"/>
        <w:rPr>
          <w:rFonts w:cs="Times New Roman"/>
          <w:color w:val="000009"/>
        </w:rPr>
      </w:pPr>
      <w:r>
        <w:rPr>
          <w:rFonts w:cs="Times New Roman"/>
          <w:color w:val="000009"/>
        </w:rPr>
        <w:t>La documentazione da presentare per la richiesta di erogazione del 10% a saldo è la seguente:</w:t>
      </w:r>
    </w:p>
    <w:p>
      <w:pPr>
        <w:pStyle w:val="ListParagraph"/>
        <w:widowControl/>
        <w:numPr>
          <w:ilvl w:val="0"/>
          <w:numId w:val="37"/>
        </w:numPr>
        <w:spacing w:before="0" w:after="120"/>
        <w:ind w:left="714" w:hanging="357"/>
        <w:contextualSpacing w:val="false"/>
        <w:jc w:val="both"/>
        <w:rPr>
          <w:rFonts w:cs="Times New Roman"/>
          <w:color w:val="000009"/>
        </w:rPr>
      </w:pPr>
      <w:r>
        <w:rPr>
          <w:rFonts w:cs="Times New Roman"/>
          <w:color w:val="000009"/>
        </w:rPr>
        <w:t>Richiesta di pagamento a saldo, secondo il format di cui all’Allegato I al presente Avviso, sottoscritta dal legale rappresentante dell’impresa;</w:t>
      </w:r>
    </w:p>
    <w:p>
      <w:pPr>
        <w:pStyle w:val="ListParagraph"/>
        <w:widowControl/>
        <w:numPr>
          <w:ilvl w:val="0"/>
          <w:numId w:val="37"/>
        </w:numPr>
        <w:spacing w:before="0" w:after="120"/>
        <w:ind w:left="714" w:hanging="357"/>
        <w:contextualSpacing w:val="false"/>
        <w:jc w:val="both"/>
        <w:rPr>
          <w:rFonts w:cs="Times New Roman"/>
          <w:color w:val="000009"/>
        </w:rPr>
      </w:pPr>
      <w:r>
        <w:rPr>
          <w:rFonts w:cs="Times New Roman"/>
          <w:color w:val="000009"/>
        </w:rPr>
        <w:t>Copia delle fatture annullate con apposta la seguente apposita dicitura “Documento contabile finanziato a valere sul progetto RC1.1.3.1.a - Sostegno alle Start – Up e PMI, CUP H39E24000040006;</w:t>
      </w:r>
    </w:p>
    <w:p>
      <w:pPr>
        <w:pStyle w:val="ListParagraph"/>
        <w:widowControl/>
        <w:numPr>
          <w:ilvl w:val="0"/>
          <w:numId w:val="37"/>
        </w:numPr>
        <w:spacing w:before="0" w:after="120"/>
        <w:ind w:left="714" w:hanging="357"/>
        <w:contextualSpacing w:val="false"/>
        <w:jc w:val="both"/>
        <w:rPr>
          <w:rFonts w:cs="Times New Roman"/>
          <w:color w:val="000009"/>
        </w:rPr>
      </w:pPr>
      <w:r>
        <w:rPr>
          <w:rFonts w:cs="Times New Roman"/>
          <w:color w:val="000009"/>
        </w:rPr>
        <w:t>Copia stralcio e/c bancario (o postale) da cui risultano gli addebiti dei pagamenti effettuati ai diversi fornitori.</w:t>
      </w:r>
    </w:p>
    <w:p>
      <w:pPr>
        <w:pStyle w:val="ListParagraph"/>
        <w:widowControl/>
        <w:numPr>
          <w:ilvl w:val="0"/>
          <w:numId w:val="33"/>
        </w:numPr>
        <w:spacing w:before="0" w:after="120"/>
        <w:ind w:left="357" w:hanging="357"/>
        <w:contextualSpacing w:val="false"/>
        <w:jc w:val="both"/>
        <w:rPr>
          <w:rFonts w:cs="Times New Roman"/>
          <w:color w:val="000009"/>
        </w:rPr>
      </w:pPr>
      <w:r>
        <w:rPr>
          <w:rFonts w:cs="Times New Roman"/>
          <w:color w:val="000009"/>
        </w:rPr>
        <w:t>È inoltre possibile richiedere l’erogazione dell’agevolazione per stato di avanzamento lavori, di cui la prima entro 90 giorni dalla concessione dell’aiuto, previa presentazione di tutti i documenti di cui al punto 5 precedente, e conformemente al seguente schema:</w:t>
      </w:r>
    </w:p>
    <w:p>
      <w:pPr>
        <w:pStyle w:val="Normal"/>
        <w:spacing w:before="0" w:after="120"/>
        <w:jc w:val="both"/>
        <w:rPr>
          <w:rFonts w:cs="Times New Roman"/>
          <w:color w:val="000009"/>
        </w:rPr>
      </w:pPr>
      <w:r>
        <w:rPr>
          <w:rFonts w:cs="Times New Roman"/>
          <w:color w:val="000009"/>
        </w:rPr>
      </w:r>
    </w:p>
    <w:p>
      <w:pPr>
        <w:pStyle w:val="Normal"/>
        <w:spacing w:before="0" w:after="120"/>
        <w:jc w:val="both"/>
        <w:rPr>
          <w:rFonts w:cs="Times New Roman"/>
          <w:b/>
          <w:b/>
          <w:bCs/>
          <w:color w:val="000009"/>
        </w:rPr>
      </w:pPr>
      <w:r>
        <w:rPr>
          <w:rFonts w:cs="Times New Roman"/>
          <w:b/>
          <w:bCs/>
          <w:color w:val="000009"/>
        </w:rPr>
        <w:t>Tab.2: Modalità di erogazione del contributo per SAL</w:t>
      </w:r>
    </w:p>
    <w:p>
      <w:pPr>
        <w:pStyle w:val="Normal"/>
        <w:jc w:val="both"/>
        <w:rPr>
          <w:rFonts w:cs="Times New Roman"/>
          <w:color w:val="000009"/>
        </w:rPr>
      </w:pPr>
      <w:r>
        <w:rPr>
          <w:rFonts w:cs="Times New Roman"/>
          <w:color w:val="000009"/>
        </w:rPr>
      </w:r>
    </w:p>
    <w:tbl>
      <w:tblPr>
        <w:tblStyle w:val="TableNormal"/>
        <w:tblW w:w="9421" w:type="dxa"/>
        <w:jc w:val="left"/>
        <w:tblInd w:w="137" w:type="dxa"/>
        <w:tblLayout w:type="fixed"/>
        <w:tblCellMar>
          <w:top w:w="0" w:type="dxa"/>
          <w:left w:w="5" w:type="dxa"/>
          <w:bottom w:w="0" w:type="dxa"/>
          <w:right w:w="5" w:type="dxa"/>
        </w:tblCellMar>
        <w:tblLook w:firstRow="1" w:noVBand="0" w:lastRow="1" w:firstColumn="1" w:lastColumn="1" w:noHBand="0" w:val="01e0"/>
      </w:tblPr>
      <w:tblGrid>
        <w:gridCol w:w="2369"/>
        <w:gridCol w:w="1423"/>
        <w:gridCol w:w="1272"/>
        <w:gridCol w:w="1368"/>
        <w:gridCol w:w="1571"/>
        <w:gridCol w:w="1417"/>
      </w:tblGrid>
      <w:tr>
        <w:trPr>
          <w:trHeight w:val="268" w:hRule="atLeast"/>
        </w:trPr>
        <w:tc>
          <w:tcPr>
            <w:tcW w:w="3792" w:type="dxa"/>
            <w:gridSpan w:val="2"/>
            <w:tcBorders>
              <w:top w:val="single" w:sz="4" w:space="0" w:color="000000"/>
              <w:left w:val="single" w:sz="4" w:space="0" w:color="000000"/>
              <w:bottom w:val="single" w:sz="4" w:space="0" w:color="000000"/>
              <w:right w:val="single" w:sz="4" w:space="0" w:color="000000"/>
            </w:tcBorders>
            <w:shd w:color="auto" w:fill="D9D9D9" w:val="clear"/>
            <w:vAlign w:val="center"/>
          </w:tcPr>
          <w:p>
            <w:pPr>
              <w:pStyle w:val="Normal"/>
              <w:widowControl w:val="false"/>
              <w:spacing w:before="0" w:after="120"/>
              <w:jc w:val="center"/>
              <w:rPr>
                <w:rFonts w:cs="Times New Roman"/>
                <w:b/>
                <w:b/>
                <w:bCs/>
                <w:color w:val="000009"/>
                <w:sz w:val="20"/>
                <w:szCs w:val="20"/>
              </w:rPr>
            </w:pPr>
            <w:r>
              <w:rPr>
                <w:rFonts w:cs="Times New Roman"/>
                <w:b/>
                <w:bCs/>
                <w:color w:val="000009"/>
                <w:kern w:val="0"/>
                <w:sz w:val="20"/>
                <w:szCs w:val="20"/>
                <w:lang w:eastAsia="en-US" w:bidi="ar-SA"/>
              </w:rPr>
              <w:t>1° Acconto</w:t>
            </w:r>
          </w:p>
        </w:tc>
        <w:tc>
          <w:tcPr>
            <w:tcW w:w="2640" w:type="dxa"/>
            <w:gridSpan w:val="2"/>
            <w:tcBorders>
              <w:top w:val="single" w:sz="4" w:space="0" w:color="000000"/>
              <w:left w:val="single" w:sz="4" w:space="0" w:color="000000"/>
              <w:bottom w:val="single" w:sz="4" w:space="0" w:color="000000"/>
              <w:right w:val="single" w:sz="4" w:space="0" w:color="000000"/>
            </w:tcBorders>
            <w:shd w:color="auto" w:fill="D9D9D9" w:val="clear"/>
            <w:vAlign w:val="center"/>
          </w:tcPr>
          <w:p>
            <w:pPr>
              <w:pStyle w:val="Normal"/>
              <w:widowControl w:val="false"/>
              <w:spacing w:before="0" w:after="120"/>
              <w:jc w:val="center"/>
              <w:rPr>
                <w:rFonts w:cs="Times New Roman"/>
                <w:b/>
                <w:b/>
                <w:bCs/>
                <w:color w:val="000009"/>
                <w:sz w:val="20"/>
                <w:szCs w:val="20"/>
              </w:rPr>
            </w:pPr>
            <w:r>
              <w:rPr>
                <w:rFonts w:cs="Times New Roman"/>
                <w:b/>
                <w:bCs/>
                <w:color w:val="000009"/>
                <w:kern w:val="0"/>
                <w:sz w:val="20"/>
                <w:szCs w:val="20"/>
                <w:lang w:eastAsia="en-US" w:bidi="ar-SA"/>
              </w:rPr>
              <w:t>2° Acconto</w:t>
            </w:r>
          </w:p>
        </w:tc>
        <w:tc>
          <w:tcPr>
            <w:tcW w:w="2988" w:type="dxa"/>
            <w:gridSpan w:val="2"/>
            <w:tcBorders>
              <w:top w:val="single" w:sz="4" w:space="0" w:color="000000"/>
              <w:left w:val="single" w:sz="4" w:space="0" w:color="000000"/>
              <w:bottom w:val="single" w:sz="4" w:space="0" w:color="000000"/>
              <w:right w:val="single" w:sz="4" w:space="0" w:color="000000"/>
            </w:tcBorders>
            <w:shd w:color="auto" w:fill="D9D9D9" w:val="clear"/>
            <w:vAlign w:val="center"/>
          </w:tcPr>
          <w:p>
            <w:pPr>
              <w:pStyle w:val="Normal"/>
              <w:widowControl w:val="false"/>
              <w:spacing w:before="0" w:after="120"/>
              <w:jc w:val="center"/>
              <w:rPr>
                <w:rFonts w:cs="Times New Roman"/>
                <w:b/>
                <w:b/>
                <w:bCs/>
                <w:color w:val="000009"/>
                <w:sz w:val="20"/>
                <w:szCs w:val="20"/>
              </w:rPr>
            </w:pPr>
            <w:r>
              <w:rPr>
                <w:rFonts w:cs="Times New Roman"/>
                <w:b/>
                <w:bCs/>
                <w:color w:val="000009"/>
                <w:kern w:val="0"/>
                <w:sz w:val="20"/>
                <w:szCs w:val="20"/>
                <w:lang w:eastAsia="en-US" w:bidi="ar-SA"/>
              </w:rPr>
              <w:t>Saldo</w:t>
            </w:r>
          </w:p>
        </w:tc>
      </w:tr>
      <w:tr>
        <w:trPr>
          <w:trHeight w:val="537" w:hRule="atLeast"/>
        </w:trPr>
        <w:tc>
          <w:tcPr>
            <w:tcW w:w="2369" w:type="dxa"/>
            <w:tcBorders>
              <w:top w:val="single" w:sz="4" w:space="0" w:color="000000"/>
              <w:left w:val="single" w:sz="4" w:space="0" w:color="000000"/>
              <w:bottom w:val="single" w:sz="4" w:space="0" w:color="000000"/>
              <w:right w:val="single" w:sz="4" w:space="0" w:color="000000"/>
            </w:tcBorders>
            <w:shd w:color="auto" w:fill="D9D9D9" w:val="clear"/>
            <w:vAlign w:val="center"/>
          </w:tcPr>
          <w:p>
            <w:pPr>
              <w:pStyle w:val="Normal"/>
              <w:widowControl w:val="false"/>
              <w:spacing w:before="0" w:after="120"/>
              <w:jc w:val="center"/>
              <w:rPr>
                <w:rFonts w:cs="Times New Roman"/>
                <w:b/>
                <w:b/>
                <w:bCs/>
                <w:color w:val="000009"/>
                <w:sz w:val="20"/>
                <w:szCs w:val="20"/>
              </w:rPr>
            </w:pPr>
            <w:r>
              <w:rPr>
                <w:rFonts w:cs="Times New Roman"/>
                <w:b/>
                <w:bCs/>
                <w:color w:val="000009"/>
                <w:kern w:val="0"/>
                <w:sz w:val="20"/>
                <w:szCs w:val="20"/>
                <w:lang w:eastAsia="en-US" w:bidi="ar-SA"/>
              </w:rPr>
              <w:t>Valore %</w:t>
            </w:r>
          </w:p>
          <w:p>
            <w:pPr>
              <w:pStyle w:val="Normal"/>
              <w:widowControl w:val="false"/>
              <w:spacing w:before="0" w:after="120"/>
              <w:jc w:val="center"/>
              <w:rPr>
                <w:rFonts w:cs="Times New Roman"/>
                <w:b/>
                <w:b/>
                <w:bCs/>
                <w:color w:val="000009"/>
                <w:sz w:val="20"/>
                <w:szCs w:val="20"/>
              </w:rPr>
            </w:pPr>
            <w:r>
              <w:rPr>
                <w:rFonts w:cs="Times New Roman"/>
                <w:b/>
                <w:bCs/>
                <w:color w:val="000009"/>
                <w:kern w:val="0"/>
                <w:sz w:val="20"/>
                <w:szCs w:val="20"/>
                <w:lang w:eastAsia="en-US" w:bidi="ar-SA"/>
              </w:rPr>
              <w:t>contributo</w:t>
            </w:r>
          </w:p>
        </w:tc>
        <w:tc>
          <w:tcPr>
            <w:tcW w:w="1423" w:type="dxa"/>
            <w:tcBorders>
              <w:top w:val="single" w:sz="4" w:space="0" w:color="000000"/>
              <w:left w:val="single" w:sz="4" w:space="0" w:color="000000"/>
              <w:bottom w:val="single" w:sz="4" w:space="0" w:color="000000"/>
              <w:right w:val="single" w:sz="4" w:space="0" w:color="000000"/>
            </w:tcBorders>
            <w:shd w:color="auto" w:fill="D9D9D9" w:val="clear"/>
            <w:vAlign w:val="center"/>
          </w:tcPr>
          <w:p>
            <w:pPr>
              <w:pStyle w:val="Normal"/>
              <w:widowControl w:val="false"/>
              <w:spacing w:before="0" w:after="120"/>
              <w:jc w:val="center"/>
              <w:rPr>
                <w:rFonts w:cs="Times New Roman"/>
                <w:b/>
                <w:b/>
                <w:bCs/>
                <w:color w:val="000009"/>
                <w:sz w:val="20"/>
                <w:szCs w:val="20"/>
              </w:rPr>
            </w:pPr>
            <w:r>
              <w:rPr>
                <w:rFonts w:cs="Times New Roman"/>
                <w:b/>
                <w:bCs/>
                <w:color w:val="000009"/>
                <w:kern w:val="0"/>
                <w:sz w:val="20"/>
                <w:szCs w:val="20"/>
                <w:lang w:eastAsia="en-US" w:bidi="ar-SA"/>
              </w:rPr>
              <w:t>Avanzamento</w:t>
            </w:r>
          </w:p>
          <w:p>
            <w:pPr>
              <w:pStyle w:val="Normal"/>
              <w:widowControl w:val="false"/>
              <w:spacing w:before="0" w:after="120"/>
              <w:jc w:val="center"/>
              <w:rPr>
                <w:rFonts w:cs="Times New Roman"/>
                <w:b/>
                <w:b/>
                <w:bCs/>
                <w:color w:val="000009"/>
                <w:sz w:val="20"/>
                <w:szCs w:val="20"/>
              </w:rPr>
            </w:pPr>
            <w:r>
              <w:rPr>
                <w:rFonts w:cs="Times New Roman"/>
                <w:b/>
                <w:bCs/>
                <w:color w:val="000009"/>
                <w:kern w:val="0"/>
                <w:sz w:val="20"/>
                <w:szCs w:val="20"/>
                <w:lang w:eastAsia="en-US" w:bidi="ar-SA"/>
              </w:rPr>
              <w:t>della spesa</w:t>
            </w:r>
          </w:p>
        </w:tc>
        <w:tc>
          <w:tcPr>
            <w:tcW w:w="1272" w:type="dxa"/>
            <w:tcBorders>
              <w:top w:val="single" w:sz="4" w:space="0" w:color="000000"/>
              <w:left w:val="single" w:sz="4" w:space="0" w:color="000000"/>
              <w:bottom w:val="single" w:sz="4" w:space="0" w:color="000000"/>
              <w:right w:val="single" w:sz="4" w:space="0" w:color="000000"/>
            </w:tcBorders>
            <w:shd w:color="auto" w:fill="D9D9D9" w:val="clear"/>
            <w:vAlign w:val="center"/>
          </w:tcPr>
          <w:p>
            <w:pPr>
              <w:pStyle w:val="Normal"/>
              <w:widowControl w:val="false"/>
              <w:spacing w:before="0" w:after="120"/>
              <w:jc w:val="center"/>
              <w:rPr>
                <w:rFonts w:cs="Times New Roman"/>
                <w:b/>
                <w:b/>
                <w:bCs/>
                <w:color w:val="000009"/>
                <w:sz w:val="20"/>
                <w:szCs w:val="20"/>
              </w:rPr>
            </w:pPr>
            <w:r>
              <w:rPr>
                <w:rFonts w:cs="Times New Roman"/>
                <w:b/>
                <w:bCs/>
                <w:color w:val="000009"/>
                <w:kern w:val="0"/>
                <w:sz w:val="20"/>
                <w:szCs w:val="20"/>
                <w:lang w:eastAsia="en-US" w:bidi="ar-SA"/>
              </w:rPr>
              <w:t>Valore %</w:t>
            </w:r>
          </w:p>
          <w:p>
            <w:pPr>
              <w:pStyle w:val="Normal"/>
              <w:widowControl w:val="false"/>
              <w:spacing w:before="0" w:after="120"/>
              <w:jc w:val="center"/>
              <w:rPr>
                <w:rFonts w:cs="Times New Roman"/>
                <w:b/>
                <w:b/>
                <w:bCs/>
                <w:color w:val="000009"/>
                <w:sz w:val="20"/>
                <w:szCs w:val="20"/>
              </w:rPr>
            </w:pPr>
            <w:r>
              <w:rPr>
                <w:rFonts w:cs="Times New Roman"/>
                <w:b/>
                <w:bCs/>
                <w:color w:val="000009"/>
                <w:kern w:val="0"/>
                <w:sz w:val="20"/>
                <w:szCs w:val="20"/>
                <w:lang w:eastAsia="en-US" w:bidi="ar-SA"/>
              </w:rPr>
              <w:t>contributo</w:t>
            </w:r>
          </w:p>
        </w:tc>
        <w:tc>
          <w:tcPr>
            <w:tcW w:w="1368" w:type="dxa"/>
            <w:tcBorders>
              <w:top w:val="single" w:sz="4" w:space="0" w:color="000000"/>
              <w:left w:val="single" w:sz="4" w:space="0" w:color="000000"/>
              <w:bottom w:val="single" w:sz="4" w:space="0" w:color="000000"/>
              <w:right w:val="single" w:sz="4" w:space="0" w:color="000000"/>
            </w:tcBorders>
            <w:shd w:color="auto" w:fill="D9D9D9" w:val="clear"/>
            <w:vAlign w:val="center"/>
          </w:tcPr>
          <w:p>
            <w:pPr>
              <w:pStyle w:val="Normal"/>
              <w:widowControl w:val="false"/>
              <w:spacing w:before="0" w:after="120"/>
              <w:jc w:val="center"/>
              <w:rPr>
                <w:rFonts w:cs="Times New Roman"/>
                <w:b/>
                <w:b/>
                <w:bCs/>
                <w:color w:val="000009"/>
                <w:sz w:val="20"/>
                <w:szCs w:val="20"/>
              </w:rPr>
            </w:pPr>
            <w:r>
              <w:rPr>
                <w:rFonts w:cs="Times New Roman"/>
                <w:b/>
                <w:bCs/>
                <w:color w:val="000009"/>
                <w:kern w:val="0"/>
                <w:sz w:val="20"/>
                <w:szCs w:val="20"/>
                <w:lang w:eastAsia="en-US" w:bidi="ar-SA"/>
              </w:rPr>
              <w:t>Avanzamento</w:t>
            </w:r>
          </w:p>
          <w:p>
            <w:pPr>
              <w:pStyle w:val="Normal"/>
              <w:widowControl w:val="false"/>
              <w:spacing w:before="0" w:after="120"/>
              <w:jc w:val="center"/>
              <w:rPr>
                <w:rFonts w:cs="Times New Roman"/>
                <w:b/>
                <w:b/>
                <w:bCs/>
                <w:color w:val="000009"/>
                <w:sz w:val="20"/>
                <w:szCs w:val="20"/>
              </w:rPr>
            </w:pPr>
            <w:r>
              <w:rPr>
                <w:rFonts w:cs="Times New Roman"/>
                <w:b/>
                <w:bCs/>
                <w:color w:val="000009"/>
                <w:kern w:val="0"/>
                <w:sz w:val="20"/>
                <w:szCs w:val="20"/>
                <w:lang w:eastAsia="en-US" w:bidi="ar-SA"/>
              </w:rPr>
              <w:t>della spesa</w:t>
            </w:r>
          </w:p>
        </w:tc>
        <w:tc>
          <w:tcPr>
            <w:tcW w:w="1571" w:type="dxa"/>
            <w:tcBorders>
              <w:top w:val="single" w:sz="4" w:space="0" w:color="000000"/>
              <w:left w:val="single" w:sz="4" w:space="0" w:color="000000"/>
              <w:bottom w:val="single" w:sz="4" w:space="0" w:color="000000"/>
              <w:right w:val="single" w:sz="4" w:space="0" w:color="000000"/>
            </w:tcBorders>
            <w:shd w:color="auto" w:fill="D9D9D9" w:val="clear"/>
            <w:vAlign w:val="center"/>
          </w:tcPr>
          <w:p>
            <w:pPr>
              <w:pStyle w:val="Normal"/>
              <w:widowControl w:val="false"/>
              <w:spacing w:before="0" w:after="120"/>
              <w:jc w:val="center"/>
              <w:rPr>
                <w:rFonts w:cs="Times New Roman"/>
                <w:b/>
                <w:b/>
                <w:bCs/>
                <w:color w:val="000009"/>
                <w:sz w:val="20"/>
                <w:szCs w:val="20"/>
              </w:rPr>
            </w:pPr>
            <w:r>
              <w:rPr>
                <w:rFonts w:cs="Times New Roman"/>
                <w:b/>
                <w:bCs/>
                <w:color w:val="000009"/>
                <w:kern w:val="0"/>
                <w:sz w:val="20"/>
                <w:szCs w:val="20"/>
                <w:lang w:eastAsia="en-US" w:bidi="ar-SA"/>
              </w:rPr>
              <w:t>Valore %</w:t>
            </w:r>
          </w:p>
          <w:p>
            <w:pPr>
              <w:pStyle w:val="Normal"/>
              <w:widowControl w:val="false"/>
              <w:spacing w:before="0" w:after="120"/>
              <w:jc w:val="center"/>
              <w:rPr>
                <w:rFonts w:cs="Times New Roman"/>
                <w:b/>
                <w:b/>
                <w:bCs/>
                <w:color w:val="000009"/>
                <w:sz w:val="20"/>
                <w:szCs w:val="20"/>
              </w:rPr>
            </w:pPr>
            <w:r>
              <w:rPr>
                <w:rFonts w:cs="Times New Roman"/>
                <w:b/>
                <w:bCs/>
                <w:color w:val="000009"/>
                <w:kern w:val="0"/>
                <w:sz w:val="20"/>
                <w:szCs w:val="20"/>
                <w:lang w:eastAsia="en-US" w:bidi="ar-SA"/>
              </w:rPr>
              <w:t>contributo</w:t>
            </w:r>
          </w:p>
        </w:tc>
        <w:tc>
          <w:tcPr>
            <w:tcW w:w="1417" w:type="dxa"/>
            <w:tcBorders>
              <w:top w:val="single" w:sz="4" w:space="0" w:color="000000"/>
              <w:left w:val="single" w:sz="4" w:space="0" w:color="000000"/>
              <w:bottom w:val="single" w:sz="4" w:space="0" w:color="000000"/>
              <w:right w:val="single" w:sz="4" w:space="0" w:color="000000"/>
            </w:tcBorders>
            <w:shd w:color="auto" w:fill="D9D9D9" w:val="clear"/>
            <w:vAlign w:val="center"/>
          </w:tcPr>
          <w:p>
            <w:pPr>
              <w:pStyle w:val="Normal"/>
              <w:widowControl w:val="false"/>
              <w:spacing w:before="0" w:after="120"/>
              <w:jc w:val="center"/>
              <w:rPr>
                <w:rFonts w:cs="Times New Roman"/>
                <w:b/>
                <w:b/>
                <w:bCs/>
                <w:color w:val="000009"/>
                <w:sz w:val="20"/>
                <w:szCs w:val="20"/>
              </w:rPr>
            </w:pPr>
            <w:r>
              <w:rPr>
                <w:rFonts w:cs="Times New Roman"/>
                <w:b/>
                <w:bCs/>
                <w:color w:val="000009"/>
                <w:kern w:val="0"/>
                <w:sz w:val="20"/>
                <w:szCs w:val="20"/>
                <w:lang w:eastAsia="en-US" w:bidi="ar-SA"/>
              </w:rPr>
              <w:t>Avanzamento</w:t>
            </w:r>
          </w:p>
          <w:p>
            <w:pPr>
              <w:pStyle w:val="Normal"/>
              <w:widowControl w:val="false"/>
              <w:spacing w:before="0" w:after="120"/>
              <w:jc w:val="center"/>
              <w:rPr>
                <w:rFonts w:cs="Times New Roman"/>
                <w:b/>
                <w:b/>
                <w:bCs/>
                <w:color w:val="000009"/>
                <w:sz w:val="20"/>
                <w:szCs w:val="20"/>
              </w:rPr>
            </w:pPr>
            <w:r>
              <w:rPr>
                <w:rFonts w:cs="Times New Roman"/>
                <w:b/>
                <w:bCs/>
                <w:color w:val="000009"/>
                <w:kern w:val="0"/>
                <w:sz w:val="20"/>
                <w:szCs w:val="20"/>
                <w:lang w:eastAsia="en-US" w:bidi="ar-SA"/>
              </w:rPr>
              <w:t>della spesa</w:t>
            </w:r>
          </w:p>
        </w:tc>
      </w:tr>
      <w:tr>
        <w:trPr>
          <w:trHeight w:val="270" w:hRule="atLeast"/>
        </w:trPr>
        <w:tc>
          <w:tcPr>
            <w:tcW w:w="2369"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before="0" w:after="120"/>
              <w:jc w:val="center"/>
              <w:rPr>
                <w:rFonts w:cs="Times New Roman"/>
                <w:color w:val="000009"/>
              </w:rPr>
            </w:pPr>
            <w:r>
              <w:rPr>
                <w:rFonts w:cs="Times New Roman"/>
                <w:color w:val="000009"/>
                <w:kern w:val="0"/>
                <w:sz w:val="22"/>
                <w:szCs w:val="22"/>
                <w:lang w:eastAsia="en-US" w:bidi="ar-SA"/>
              </w:rPr>
              <w:t>40%</w:t>
            </w:r>
          </w:p>
        </w:tc>
        <w:tc>
          <w:tcPr>
            <w:tcW w:w="1423"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before="0" w:after="120"/>
              <w:jc w:val="center"/>
              <w:rPr>
                <w:rFonts w:cs="Times New Roman"/>
                <w:color w:val="000009"/>
              </w:rPr>
            </w:pPr>
            <w:r>
              <w:rPr>
                <w:rFonts w:cs="Times New Roman"/>
                <w:color w:val="000009"/>
                <w:kern w:val="0"/>
                <w:sz w:val="22"/>
                <w:szCs w:val="22"/>
                <w:lang w:eastAsia="en-US" w:bidi="ar-SA"/>
              </w:rPr>
              <w:t>40%</w:t>
            </w:r>
          </w:p>
        </w:tc>
        <w:tc>
          <w:tcPr>
            <w:tcW w:w="1272"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before="0" w:after="120"/>
              <w:jc w:val="center"/>
              <w:rPr>
                <w:rFonts w:cs="Times New Roman"/>
                <w:color w:val="000009"/>
              </w:rPr>
            </w:pPr>
            <w:r>
              <w:rPr>
                <w:rFonts w:cs="Times New Roman"/>
                <w:color w:val="000009"/>
                <w:kern w:val="0"/>
                <w:sz w:val="22"/>
                <w:szCs w:val="22"/>
                <w:lang w:eastAsia="en-US" w:bidi="ar-SA"/>
              </w:rPr>
              <w:t>50%</w:t>
            </w:r>
          </w:p>
        </w:tc>
        <w:tc>
          <w:tcPr>
            <w:tcW w:w="1368"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before="0" w:after="120"/>
              <w:jc w:val="center"/>
              <w:rPr>
                <w:rFonts w:cs="Times New Roman"/>
                <w:color w:val="000009"/>
              </w:rPr>
            </w:pPr>
            <w:r>
              <w:rPr>
                <w:rFonts w:cs="Times New Roman"/>
                <w:color w:val="000009"/>
                <w:kern w:val="0"/>
                <w:sz w:val="22"/>
                <w:szCs w:val="22"/>
                <w:lang w:eastAsia="en-US" w:bidi="ar-SA"/>
              </w:rPr>
              <w:t>90%</w:t>
            </w:r>
          </w:p>
        </w:tc>
        <w:tc>
          <w:tcPr>
            <w:tcW w:w="1571"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before="0" w:after="120"/>
              <w:jc w:val="center"/>
              <w:rPr>
                <w:rFonts w:cs="Times New Roman"/>
                <w:color w:val="000009"/>
              </w:rPr>
            </w:pPr>
            <w:r>
              <w:rPr>
                <w:rFonts w:cs="Times New Roman"/>
                <w:color w:val="000009"/>
                <w:kern w:val="0"/>
                <w:sz w:val="22"/>
                <w:szCs w:val="22"/>
                <w:lang w:eastAsia="en-US" w:bidi="ar-SA"/>
              </w:rPr>
              <w:t>10%</w:t>
            </w:r>
          </w:p>
        </w:tc>
        <w:tc>
          <w:tcPr>
            <w:tcW w:w="1417"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before="0" w:after="120"/>
              <w:jc w:val="center"/>
              <w:rPr>
                <w:rFonts w:cs="Times New Roman"/>
                <w:color w:val="000009"/>
              </w:rPr>
            </w:pPr>
            <w:r>
              <w:rPr>
                <w:rFonts w:cs="Times New Roman"/>
                <w:color w:val="000009"/>
                <w:kern w:val="0"/>
                <w:sz w:val="22"/>
                <w:szCs w:val="22"/>
                <w:lang w:eastAsia="en-US" w:bidi="ar-SA"/>
              </w:rPr>
              <w:t>100%</w:t>
            </w:r>
          </w:p>
        </w:tc>
      </w:tr>
    </w:tbl>
    <w:p>
      <w:pPr>
        <w:pStyle w:val="Normal"/>
        <w:jc w:val="both"/>
        <w:rPr>
          <w:rFonts w:cs="Times New Roman"/>
          <w:color w:val="000009"/>
        </w:rPr>
      </w:pPr>
      <w:r>
        <w:rPr>
          <w:rFonts w:cs="Times New Roman"/>
          <w:color w:val="000009"/>
        </w:rPr>
      </w:r>
    </w:p>
    <w:p>
      <w:pPr>
        <w:pStyle w:val="Normal"/>
        <w:jc w:val="both"/>
        <w:rPr>
          <w:rFonts w:cs="Times New Roman"/>
          <w:color w:val="000009"/>
        </w:rPr>
      </w:pPr>
      <w:r>
        <w:rPr>
          <w:rFonts w:cs="Times New Roman"/>
          <w:color w:val="000009"/>
        </w:rPr>
      </w:r>
    </w:p>
    <w:p>
      <w:pPr>
        <w:pStyle w:val="ListParagraph"/>
        <w:widowControl/>
        <w:numPr>
          <w:ilvl w:val="0"/>
          <w:numId w:val="33"/>
        </w:numPr>
        <w:spacing w:before="0" w:after="120"/>
        <w:ind w:left="357" w:hanging="357"/>
        <w:contextualSpacing w:val="false"/>
        <w:jc w:val="both"/>
        <w:rPr>
          <w:rFonts w:cs="Times New Roman"/>
          <w:color w:val="000009"/>
        </w:rPr>
      </w:pPr>
      <w:r>
        <w:rPr>
          <w:rFonts w:cs="Times New Roman"/>
          <w:color w:val="000009"/>
        </w:rPr>
        <w:t>È infine possibile richiedere l’erogazione in unica soluzione, previa presentazione di tutti i documenti di cui ai punti 5-6 precedenti.</w:t>
      </w:r>
    </w:p>
    <w:p>
      <w:pPr>
        <w:pStyle w:val="Normal"/>
        <w:spacing w:before="0" w:after="120"/>
        <w:jc w:val="both"/>
        <w:rPr>
          <w:rFonts w:cs="Times New Roman"/>
          <w:color w:val="000009"/>
        </w:rPr>
      </w:pPr>
      <w:r>
        <w:rPr>
          <w:rFonts w:cs="Times New Roman"/>
          <w:color w:val="000009"/>
        </w:rPr>
      </w:r>
    </w:p>
    <w:p>
      <w:pPr>
        <w:pStyle w:val="Titolo2"/>
        <w:tabs>
          <w:tab w:val="clear" w:pos="720"/>
          <w:tab w:val="left" w:pos="616" w:leader="none"/>
        </w:tabs>
        <w:spacing w:before="0" w:after="120"/>
        <w:ind w:left="357" w:hanging="357"/>
        <w:jc w:val="both"/>
        <w:rPr>
          <w:rFonts w:ascii="Titillium Web" w:hAnsi="Titillium Web" w:cs="Times New Roman"/>
          <w:b/>
          <w:b/>
          <w:bCs/>
          <w:color w:val="auto"/>
          <w:sz w:val="22"/>
          <w:szCs w:val="22"/>
        </w:rPr>
      </w:pPr>
      <w:bookmarkStart w:id="99" w:name="_Toc215218268"/>
      <w:bookmarkStart w:id="100" w:name="_Toc214529873"/>
      <w:r>
        <w:rPr>
          <w:rFonts w:cs="Times New Roman" w:ascii="Titillium Web" w:hAnsi="Titillium Web"/>
          <w:b/>
          <w:bCs/>
          <w:color w:val="auto"/>
          <w:sz w:val="22"/>
          <w:szCs w:val="22"/>
        </w:rPr>
        <w:t xml:space="preserve">4.12 </w:t>
      </w:r>
      <w:r>
        <w:rPr>
          <w:rFonts w:cs="Times New Roman" w:ascii="Titillium Web" w:hAnsi="Titillium Web"/>
          <w:b/>
          <w:bCs/>
          <w:color w:val="auto"/>
          <w:sz w:val="24"/>
          <w:szCs w:val="24"/>
        </w:rPr>
        <w:t>Garanzia a copertura dell’anticipazione</w:t>
      </w:r>
      <w:bookmarkEnd w:id="99"/>
      <w:bookmarkEnd w:id="100"/>
    </w:p>
    <w:p>
      <w:pPr>
        <w:pStyle w:val="ListParagraph"/>
        <w:widowControl/>
        <w:numPr>
          <w:ilvl w:val="0"/>
          <w:numId w:val="38"/>
        </w:numPr>
        <w:spacing w:before="0" w:after="120"/>
        <w:ind w:left="357" w:hanging="357"/>
        <w:contextualSpacing w:val="false"/>
        <w:jc w:val="both"/>
        <w:rPr>
          <w:rFonts w:cs="Times New Roman"/>
          <w:color w:val="000009"/>
        </w:rPr>
      </w:pPr>
      <w:r>
        <w:rPr>
          <w:rFonts w:cs="Times New Roman"/>
          <w:color w:val="000009"/>
        </w:rPr>
        <w:t>L’erogazione dell’anticipo è subordinata alla presentazione contestuale di una garanzia fideiussoria che deve coprire capitale, interessi e interessi di mora, ove previsti, oltre alle spese della procedura di recupero.</w:t>
      </w:r>
    </w:p>
    <w:p>
      <w:pPr>
        <w:pStyle w:val="ListParagraph"/>
        <w:widowControl/>
        <w:numPr>
          <w:ilvl w:val="0"/>
          <w:numId w:val="38"/>
        </w:numPr>
        <w:spacing w:before="0" w:after="120"/>
        <w:ind w:left="357" w:hanging="357"/>
        <w:contextualSpacing w:val="false"/>
        <w:jc w:val="both"/>
        <w:rPr>
          <w:rFonts w:cs="Times New Roman"/>
          <w:color w:val="000009"/>
        </w:rPr>
      </w:pPr>
      <w:r>
        <w:rPr>
          <w:rFonts w:cs="Times New Roman"/>
          <w:color w:val="000009"/>
        </w:rPr>
        <w:t>La garanzia potrà essere prestata dalle banche, dalle imprese di assicurazione di cui alla L. n. 348/1982 e ss.mm.ii., o dagli intermediari finanziari iscritti nell’elenco speciale di cui all’art. 106 del D. Lgs. n. 385/1993 e ss.mm.ii. (TUB) - inclusi i Confidi iscritti nell’elenco di cui all’Art. 106 - che svolgano attività di rilascio di garanzie in via esclusiva o prevalente, che siano a ciò autorizzati e vigilati dalla Banca d’Italia e presenti nelle banche dati della stessa.</w:t>
      </w:r>
    </w:p>
    <w:p>
      <w:pPr>
        <w:pStyle w:val="ListParagraph"/>
        <w:widowControl/>
        <w:numPr>
          <w:ilvl w:val="0"/>
          <w:numId w:val="38"/>
        </w:numPr>
        <w:spacing w:before="0" w:after="120"/>
        <w:ind w:left="357" w:hanging="357"/>
        <w:contextualSpacing w:val="false"/>
        <w:jc w:val="both"/>
        <w:rPr>
          <w:rFonts w:cs="Times New Roman"/>
          <w:color w:val="000009"/>
        </w:rPr>
      </w:pPr>
      <w:r>
        <w:rPr>
          <w:rFonts w:cs="Times New Roman"/>
          <w:color w:val="000009"/>
        </w:rPr>
        <w:t>La garanzia deve essere rilasciata utilizzando il modello di cui all’Allegato L al presente Avviso e sottoscritta digitalmente, al fine di precostituire il titolo per il recupero coattivo mediante agente della riscossione. La fideiussione deve essere intestata all’Amministrazione comunale.</w:t>
      </w:r>
    </w:p>
    <w:p>
      <w:pPr>
        <w:pStyle w:val="Normal"/>
        <w:jc w:val="both"/>
        <w:rPr/>
      </w:pPr>
      <w:r>
        <w:rPr/>
      </w:r>
    </w:p>
    <w:p>
      <w:pPr>
        <w:pStyle w:val="Titolo2"/>
        <w:widowControl/>
        <w:numPr>
          <w:ilvl w:val="1"/>
          <w:numId w:val="4"/>
        </w:numPr>
        <w:tabs>
          <w:tab w:val="clear" w:pos="720"/>
          <w:tab w:val="left" w:pos="426" w:leader="none"/>
        </w:tabs>
        <w:spacing w:before="0" w:after="120"/>
        <w:ind w:left="357" w:hanging="357"/>
        <w:jc w:val="both"/>
        <w:rPr>
          <w:rFonts w:ascii="Titillium Web" w:hAnsi="Titillium Web" w:cs="Times New Roman"/>
          <w:b/>
          <w:b/>
          <w:bCs/>
          <w:color w:val="auto"/>
          <w:sz w:val="24"/>
          <w:szCs w:val="24"/>
        </w:rPr>
      </w:pPr>
      <w:bookmarkStart w:id="101" w:name="_Toc214529874"/>
      <w:r>
        <w:rPr>
          <w:rFonts w:cs="Times New Roman" w:ascii="Titillium Web" w:hAnsi="Titillium Web"/>
          <w:b/>
          <w:bCs/>
          <w:color w:val="auto"/>
          <w:sz w:val="22"/>
          <w:szCs w:val="22"/>
        </w:rPr>
        <w:t xml:space="preserve"> </w:t>
      </w:r>
      <w:bookmarkStart w:id="102" w:name="_Toc215218269"/>
      <w:r>
        <w:rPr>
          <w:rFonts w:cs="Times New Roman" w:ascii="Titillium Web" w:hAnsi="Titillium Web"/>
          <w:b/>
          <w:bCs/>
          <w:color w:val="auto"/>
          <w:sz w:val="24"/>
          <w:szCs w:val="24"/>
        </w:rPr>
        <w:t>Obblighi del beneficiario, controlli e revoche</w:t>
      </w:r>
      <w:bookmarkEnd w:id="101"/>
      <w:bookmarkEnd w:id="102"/>
    </w:p>
    <w:p>
      <w:pPr>
        <w:pStyle w:val="Normal"/>
        <w:spacing w:before="0" w:after="120"/>
        <w:jc w:val="both"/>
        <w:rPr>
          <w:rFonts w:cs="Times New Roman"/>
          <w:color w:val="000009"/>
        </w:rPr>
      </w:pPr>
      <w:r>
        <w:rPr>
          <w:rFonts w:cs="Times New Roman"/>
          <w:color w:val="000009"/>
        </w:rPr>
        <w:t xml:space="preserve"> </w:t>
      </w:r>
      <w:r>
        <w:rPr>
          <w:rFonts w:cs="Times New Roman"/>
          <w:color w:val="000009"/>
        </w:rPr>
        <w:t>Il Beneficiario è obbligato a:</w:t>
      </w:r>
    </w:p>
    <w:p>
      <w:pPr>
        <w:pStyle w:val="ListParagraph"/>
        <w:widowControl/>
        <w:numPr>
          <w:ilvl w:val="0"/>
          <w:numId w:val="39"/>
        </w:numPr>
        <w:spacing w:before="0" w:after="120"/>
        <w:ind w:left="357" w:hanging="357"/>
        <w:contextualSpacing w:val="false"/>
        <w:jc w:val="both"/>
        <w:rPr>
          <w:rFonts w:cs="Times New Roman"/>
          <w:color w:val="000009"/>
        </w:rPr>
      </w:pPr>
      <w:r>
        <w:rPr>
          <w:rFonts w:cs="Times New Roman"/>
          <w:color w:val="000009"/>
        </w:rPr>
        <w:t>Realizzare l’intervento secondo le modalità previste nel progetto approvato e, comunque, nella misura minima del 60% dell’investimento ammesso. Tale misura è determinata facendo riferimento ai costi effettivamente rendicontati e ammessi, in rapporto al piano finanziario approvato;</w:t>
      </w:r>
    </w:p>
    <w:p>
      <w:pPr>
        <w:pStyle w:val="ListParagraph"/>
        <w:widowControl/>
        <w:numPr>
          <w:ilvl w:val="0"/>
          <w:numId w:val="39"/>
        </w:numPr>
        <w:spacing w:before="0" w:after="120"/>
        <w:ind w:left="357" w:hanging="357"/>
        <w:contextualSpacing w:val="false"/>
        <w:jc w:val="both"/>
        <w:rPr>
          <w:rFonts w:cs="Times New Roman"/>
          <w:color w:val="000009"/>
        </w:rPr>
      </w:pPr>
      <w:r>
        <w:rPr>
          <w:rFonts w:cs="Times New Roman"/>
          <w:color w:val="000009"/>
        </w:rPr>
        <w:t>realizzare l’intervento in conformità con tutte le norme, anche non espressamente richiamate, relative ai Fondi strutturali e di investimento europei (nel seguito, i Fondi SIE);</w:t>
      </w:r>
    </w:p>
    <w:p>
      <w:pPr>
        <w:pStyle w:val="ListParagraph"/>
        <w:widowControl/>
        <w:numPr>
          <w:ilvl w:val="0"/>
          <w:numId w:val="39"/>
        </w:numPr>
        <w:spacing w:before="0" w:after="120"/>
        <w:ind w:left="357" w:hanging="357"/>
        <w:contextualSpacing w:val="false"/>
        <w:jc w:val="both"/>
        <w:rPr>
          <w:rFonts w:cs="Times New Roman"/>
          <w:color w:val="000009"/>
        </w:rPr>
      </w:pPr>
      <w:r>
        <w:rPr>
          <w:rFonts w:cs="Times New Roman"/>
          <w:color w:val="000009"/>
        </w:rPr>
        <w:t>realizzare l’intervento entro i termini previsti dal progetto approvato;</w:t>
      </w:r>
    </w:p>
    <w:p>
      <w:pPr>
        <w:pStyle w:val="ListParagraph"/>
        <w:widowControl/>
        <w:numPr>
          <w:ilvl w:val="0"/>
          <w:numId w:val="39"/>
        </w:numPr>
        <w:spacing w:before="0" w:after="120"/>
        <w:ind w:left="357" w:hanging="357"/>
        <w:contextualSpacing w:val="false"/>
        <w:jc w:val="both"/>
        <w:rPr>
          <w:rFonts w:cs="Times New Roman"/>
          <w:color w:val="000009"/>
        </w:rPr>
      </w:pPr>
      <w:r>
        <w:rPr>
          <w:rFonts w:cs="Times New Roman"/>
          <w:color w:val="000009"/>
        </w:rPr>
        <w:t>assicurare la realizzazione delle attività previste dall’intervento così come le stesse sono individuate nell’ambito degli atti connessi alle procedure di concessione dell’aiuto;</w:t>
      </w:r>
    </w:p>
    <w:p>
      <w:pPr>
        <w:pStyle w:val="ListParagraph"/>
        <w:widowControl/>
        <w:numPr>
          <w:ilvl w:val="0"/>
          <w:numId w:val="39"/>
        </w:numPr>
        <w:spacing w:before="0" w:after="120"/>
        <w:ind w:left="357" w:hanging="357"/>
        <w:contextualSpacing w:val="false"/>
        <w:jc w:val="both"/>
        <w:rPr>
          <w:rFonts w:cs="Times New Roman"/>
          <w:color w:val="000009"/>
        </w:rPr>
      </w:pPr>
      <w:r>
        <w:rPr>
          <w:rFonts w:cs="Times New Roman"/>
          <w:color w:val="000009"/>
        </w:rPr>
        <w:t>rendicontare le spese effettivamente sostenute per la realizzazione dell’Intervento, giustificate da fatture quietanzate o da documenti contabili di valore probatorio equivalente, nel periodo compreso tra il giorno successivo alla data di presentazione della domanda e il termine previsto per la conclusione del progetto così come lo stesso è individuato al punto 3.4 del presente Avviso;</w:t>
      </w:r>
    </w:p>
    <w:p>
      <w:pPr>
        <w:pStyle w:val="ListParagraph"/>
        <w:widowControl/>
        <w:numPr>
          <w:ilvl w:val="0"/>
          <w:numId w:val="39"/>
        </w:numPr>
        <w:spacing w:before="0" w:after="120"/>
        <w:ind w:left="357" w:hanging="357"/>
        <w:contextualSpacing w:val="false"/>
        <w:jc w:val="both"/>
        <w:rPr>
          <w:rFonts w:cs="Times New Roman"/>
          <w:color w:val="000009"/>
        </w:rPr>
      </w:pPr>
      <w:r>
        <w:rPr>
          <w:rFonts w:cs="Times New Roman"/>
          <w:color w:val="000009"/>
        </w:rPr>
        <w:t>formalizzare le richieste di erogazione del contributo entro i termini e secondo le modalità previste dall’Avviso;</w:t>
      </w:r>
    </w:p>
    <w:p>
      <w:pPr>
        <w:pStyle w:val="ListParagraph"/>
        <w:widowControl/>
        <w:numPr>
          <w:ilvl w:val="0"/>
          <w:numId w:val="39"/>
        </w:numPr>
        <w:spacing w:before="0" w:after="120"/>
        <w:ind w:left="357" w:hanging="357"/>
        <w:contextualSpacing w:val="false"/>
        <w:jc w:val="both"/>
        <w:rPr>
          <w:rFonts w:cs="Times New Roman"/>
          <w:color w:val="000009"/>
        </w:rPr>
      </w:pPr>
      <w:r>
        <w:rPr>
          <w:rFonts w:cs="Times New Roman"/>
          <w:color w:val="000009"/>
        </w:rPr>
        <w:t>rispettare le disposizioni di cui alla lettera b) dell’art. 74 del Regolamento (UE) 1060/2021 (contabilità separata) nella gestione delle somme trasferite dall’Amministrazione comunale a titolo di finanziamento a valere sulle risorse del Programma assicurando un sistema di contabilità separata o una codificazione contabile adeguata per tutte le transazioni relative all’operazione;</w:t>
      </w:r>
    </w:p>
    <w:p>
      <w:pPr>
        <w:pStyle w:val="ListParagraph"/>
        <w:widowControl/>
        <w:numPr>
          <w:ilvl w:val="0"/>
          <w:numId w:val="39"/>
        </w:numPr>
        <w:spacing w:before="0" w:after="120"/>
        <w:ind w:left="357" w:hanging="357"/>
        <w:contextualSpacing w:val="false"/>
        <w:jc w:val="both"/>
        <w:rPr>
          <w:rFonts w:cs="Times New Roman"/>
          <w:color w:val="000009"/>
        </w:rPr>
      </w:pPr>
      <w:r>
        <w:rPr>
          <w:rFonts w:cs="Times New Roman"/>
          <w:color w:val="000009"/>
        </w:rPr>
        <w:t>curare la conservazione di tutti gli elaborati tecnici, e della documentazione amministrativa e contabile dell’intervento, separata, o separabile mediante opportuna codifica, dagli altri atti amministrativi generali. Detta archiviazione deve essere accessibile senza limitazioni ai fini di controllo alle persone ed agli organismi aventi diritto e deve essere conservata per un periodo corrispondente ai termini temporali previsti dall’Art. 82 comma 1 del Reg. 1060/2021;</w:t>
      </w:r>
    </w:p>
    <w:p>
      <w:pPr>
        <w:pStyle w:val="ListParagraph"/>
        <w:widowControl/>
        <w:numPr>
          <w:ilvl w:val="0"/>
          <w:numId w:val="39"/>
        </w:numPr>
        <w:spacing w:before="0" w:after="120"/>
        <w:ind w:left="357" w:hanging="357"/>
        <w:contextualSpacing w:val="false"/>
        <w:jc w:val="both"/>
        <w:rPr>
          <w:rFonts w:cs="Times New Roman"/>
          <w:color w:val="000009"/>
        </w:rPr>
      </w:pPr>
      <w:r>
        <w:rPr>
          <w:rFonts w:cs="Times New Roman"/>
          <w:color w:val="000009"/>
        </w:rPr>
        <w:t>conservare tutti i documenti relativi al progetto sotto forma di originali o di copie autenticate su supporti comunemente accettati, che comprovano l’effettività della spesa sostenuta;</w:t>
      </w:r>
    </w:p>
    <w:p>
      <w:pPr>
        <w:pStyle w:val="ListParagraph"/>
        <w:widowControl/>
        <w:numPr>
          <w:ilvl w:val="0"/>
          <w:numId w:val="39"/>
        </w:numPr>
        <w:spacing w:before="0" w:after="120"/>
        <w:ind w:left="357" w:hanging="357"/>
        <w:contextualSpacing w:val="false"/>
        <w:jc w:val="both"/>
        <w:rPr>
          <w:rFonts w:cs="Times New Roman"/>
          <w:color w:val="000009"/>
        </w:rPr>
      </w:pPr>
      <w:r>
        <w:rPr>
          <w:rFonts w:cs="Times New Roman"/>
          <w:color w:val="000009"/>
        </w:rPr>
        <w:t>mantenere gli originali dei documenti di spesa e di quelli attestanti l’avvenuto pagamento a disposizione per accertamenti e controlli, entro i termini temporali previsti dall’Art. 82 comma 1 del Reg. 1060/2021;</w:t>
      </w:r>
    </w:p>
    <w:p>
      <w:pPr>
        <w:pStyle w:val="ListParagraph"/>
        <w:widowControl/>
        <w:numPr>
          <w:ilvl w:val="0"/>
          <w:numId w:val="39"/>
        </w:numPr>
        <w:spacing w:before="0" w:after="120"/>
        <w:ind w:left="357" w:hanging="357"/>
        <w:contextualSpacing w:val="false"/>
        <w:jc w:val="both"/>
        <w:rPr>
          <w:rFonts w:cs="Times New Roman"/>
          <w:color w:val="000009"/>
        </w:rPr>
      </w:pPr>
      <w:r>
        <w:rPr>
          <w:rFonts w:cs="Times New Roman"/>
          <w:color w:val="000009"/>
        </w:rPr>
        <w:t>comunicare, in sede di richiesta di erogazione del contributo l’ubicazione dei documenti sopra richiamati nonché l’identità del soggetto addetto a tale conservazione. Ogni modifica e/o aggiornamento delle suddette informazioni deve essere prontamente comunicata secondo le modalità previste dalle disposizioni applicabili al contributo concesso;</w:t>
      </w:r>
    </w:p>
    <w:p>
      <w:pPr>
        <w:pStyle w:val="ListParagraph"/>
        <w:widowControl/>
        <w:numPr>
          <w:ilvl w:val="0"/>
          <w:numId w:val="39"/>
        </w:numPr>
        <w:spacing w:before="0" w:after="120"/>
        <w:ind w:left="357" w:hanging="357"/>
        <w:contextualSpacing w:val="false"/>
        <w:jc w:val="both"/>
        <w:rPr>
          <w:rFonts w:cs="Times New Roman"/>
          <w:color w:val="000009"/>
        </w:rPr>
      </w:pPr>
      <w:r>
        <w:rPr>
          <w:rFonts w:cs="Times New Roman"/>
          <w:color w:val="000009"/>
        </w:rPr>
        <w:t>fornire secondo le modalità e i tempi definiti dall’Amministrazione comunale, i dati e le informazioni relativi al monitoraggio finanziario, economico, fisico e procedurale, nel rispetto delle disposizioni applicabili in materia di Fondi SIE e secondo le modalità indicate dall’Amministrazione Regionale;</w:t>
      </w:r>
    </w:p>
    <w:p>
      <w:pPr>
        <w:pStyle w:val="ListParagraph"/>
        <w:widowControl/>
        <w:numPr>
          <w:ilvl w:val="0"/>
          <w:numId w:val="39"/>
        </w:numPr>
        <w:spacing w:before="0" w:after="120"/>
        <w:ind w:left="357" w:hanging="357"/>
        <w:contextualSpacing w:val="false"/>
        <w:jc w:val="both"/>
        <w:rPr>
          <w:rFonts w:cs="Times New Roman"/>
          <w:color w:val="000009"/>
        </w:rPr>
      </w:pPr>
      <w:r>
        <w:rPr>
          <w:rFonts w:cs="Times New Roman"/>
          <w:color w:val="000009"/>
        </w:rPr>
        <w:t>consentire le verifiche in loco, a favore delle autorità di controllo regionali, nazionali e comunitarie entro i termini temporali previsti dall’Art. 82 comma 1 del Reg. 1060/2021;</w:t>
      </w:r>
    </w:p>
    <w:p>
      <w:pPr>
        <w:pStyle w:val="ListParagraph"/>
        <w:widowControl/>
        <w:numPr>
          <w:ilvl w:val="0"/>
          <w:numId w:val="39"/>
        </w:numPr>
        <w:spacing w:before="0" w:after="120"/>
        <w:ind w:left="357" w:hanging="357"/>
        <w:contextualSpacing w:val="false"/>
        <w:jc w:val="both"/>
        <w:rPr>
          <w:rFonts w:cs="Times New Roman"/>
          <w:color w:val="000009"/>
        </w:rPr>
      </w:pPr>
      <w:r>
        <w:rPr>
          <w:rFonts w:cs="Times New Roman"/>
          <w:color w:val="000009"/>
        </w:rPr>
        <w:t>impegnarsi, in caso di ispezione, ad assicurare l’accesso ai documenti sopra richiamati. In tali occasioni, è altresì tenuto a fornire estratti o copie dei suddetti documenti alle persone o agli organismi che ne hanno diritto e/o dell’eventuale Gestore Concessionario/Organismo Intermedio, nonché i funzionari autorizzati della Comunità europea e i loro rappresentanti autorizzati;</w:t>
      </w:r>
    </w:p>
    <w:p>
      <w:pPr>
        <w:pStyle w:val="ListParagraph"/>
        <w:widowControl/>
        <w:numPr>
          <w:ilvl w:val="0"/>
          <w:numId w:val="39"/>
        </w:numPr>
        <w:spacing w:before="0" w:after="120"/>
        <w:ind w:left="357" w:hanging="357"/>
        <w:contextualSpacing w:val="false"/>
        <w:jc w:val="both"/>
        <w:rPr>
          <w:rFonts w:cs="Times New Roman"/>
          <w:color w:val="000009"/>
        </w:rPr>
      </w:pPr>
      <w:r>
        <w:rPr>
          <w:rFonts w:cs="Times New Roman"/>
          <w:color w:val="000009"/>
        </w:rPr>
        <w:t>garantire la capacità amministrativa e operativa della sua struttura organizzativa per la realizzazione dell’intervento;</w:t>
      </w:r>
    </w:p>
    <w:p>
      <w:pPr>
        <w:pStyle w:val="ListParagraph"/>
        <w:widowControl/>
        <w:numPr>
          <w:ilvl w:val="0"/>
          <w:numId w:val="39"/>
        </w:numPr>
        <w:spacing w:before="0" w:after="120"/>
        <w:ind w:left="357" w:hanging="357"/>
        <w:contextualSpacing w:val="false"/>
        <w:jc w:val="both"/>
        <w:rPr>
          <w:rFonts w:cs="Times New Roman"/>
          <w:color w:val="000009"/>
        </w:rPr>
      </w:pPr>
      <w:r>
        <w:rPr>
          <w:rFonts w:cs="Times New Roman"/>
          <w:color w:val="000009"/>
        </w:rPr>
        <w:t>rispettare quanto previsto per eventuali variazioni dell’intervento, al punto 4.15 del presente Avviso;</w:t>
      </w:r>
    </w:p>
    <w:p>
      <w:pPr>
        <w:pStyle w:val="ListParagraph"/>
        <w:widowControl/>
        <w:numPr>
          <w:ilvl w:val="0"/>
          <w:numId w:val="39"/>
        </w:numPr>
        <w:spacing w:before="0" w:after="120"/>
        <w:ind w:left="357" w:hanging="357"/>
        <w:contextualSpacing w:val="false"/>
        <w:jc w:val="both"/>
        <w:rPr>
          <w:rFonts w:cs="Times New Roman"/>
          <w:color w:val="000009"/>
        </w:rPr>
      </w:pPr>
      <w:r>
        <w:rPr>
          <w:rFonts w:cs="Times New Roman"/>
          <w:color w:val="000009"/>
        </w:rPr>
        <w:t>rispettare le prescrizioni contenute nel presente Avviso, nonché nelle istruzioni eventualmente emanate dall’Amministrazione comunale a tal fine;</w:t>
      </w:r>
    </w:p>
    <w:p>
      <w:pPr>
        <w:pStyle w:val="ListParagraph"/>
        <w:widowControl/>
        <w:numPr>
          <w:ilvl w:val="0"/>
          <w:numId w:val="39"/>
        </w:numPr>
        <w:spacing w:before="0" w:after="120"/>
        <w:ind w:left="357" w:hanging="357"/>
        <w:contextualSpacing w:val="false"/>
        <w:jc w:val="both"/>
        <w:rPr>
          <w:rFonts w:cs="Times New Roman"/>
          <w:color w:val="000009"/>
        </w:rPr>
      </w:pPr>
      <w:r>
        <w:rPr>
          <w:rFonts w:cs="Times New Roman"/>
          <w:color w:val="000009"/>
        </w:rPr>
        <w:t>fornire le informazioni e le documentazioni finanziarie, tecniche e amministrative dell’intervento, comunque, richiesto dall’Amministrazione comunale e/o dagli enti incaricati, nonché le attestazioni necessarie per la verifica del possesso e del mantenimento dei requisiti di cui al punto 2 entro un termine massimo di 15 (quindici) giorni dalla richiesta, se non diversamente stabilito;</w:t>
      </w:r>
    </w:p>
    <w:p>
      <w:pPr>
        <w:pStyle w:val="ListParagraph"/>
        <w:widowControl/>
        <w:numPr>
          <w:ilvl w:val="0"/>
          <w:numId w:val="39"/>
        </w:numPr>
        <w:spacing w:before="0" w:after="120"/>
        <w:ind w:left="357" w:hanging="357"/>
        <w:contextualSpacing w:val="false"/>
        <w:jc w:val="both"/>
        <w:rPr>
          <w:rFonts w:cs="Times New Roman"/>
          <w:color w:val="000009"/>
        </w:rPr>
      </w:pPr>
      <w:r>
        <w:rPr>
          <w:rFonts w:cs="Times New Roman"/>
          <w:color w:val="000009"/>
        </w:rPr>
        <w:t>garantire l’applicazione della legislazione vigente in materia di sicurezza sui luoghi di lavoro (D. Lgs n. 81 del 9 aprile 2008 e s.m.i.);</w:t>
      </w:r>
    </w:p>
    <w:p>
      <w:pPr>
        <w:pStyle w:val="ListParagraph"/>
        <w:widowControl/>
        <w:numPr>
          <w:ilvl w:val="0"/>
          <w:numId w:val="39"/>
        </w:numPr>
        <w:spacing w:before="0" w:after="120"/>
        <w:ind w:left="357" w:hanging="357"/>
        <w:contextualSpacing w:val="false"/>
        <w:jc w:val="both"/>
        <w:rPr>
          <w:rFonts w:cs="Times New Roman"/>
          <w:color w:val="000009"/>
        </w:rPr>
      </w:pPr>
      <w:r>
        <w:rPr>
          <w:rFonts w:cs="Times New Roman"/>
          <w:color w:val="000009"/>
        </w:rPr>
        <w:t>garantire il rispetto delle norme applicabili in materia di informazione e pubblicità del finanziamento dell’intervento, secondo quanto previsto dai Regolamenti Comunitari in materia;</w:t>
      </w:r>
    </w:p>
    <w:p>
      <w:pPr>
        <w:pStyle w:val="ListParagraph"/>
        <w:widowControl/>
        <w:numPr>
          <w:ilvl w:val="0"/>
          <w:numId w:val="39"/>
        </w:numPr>
        <w:spacing w:before="0" w:after="120"/>
        <w:ind w:left="357" w:hanging="357"/>
        <w:contextualSpacing w:val="false"/>
        <w:jc w:val="both"/>
        <w:rPr>
          <w:rFonts w:cs="Times New Roman"/>
          <w:color w:val="000009"/>
        </w:rPr>
      </w:pPr>
      <w:r>
        <w:rPr>
          <w:rFonts w:cs="Times New Roman"/>
          <w:color w:val="000009"/>
        </w:rPr>
        <w:t>disporre di un conto corrente dedicato, anche se non in via esclusiva, agli accrediti ed addebiti connessi all’attuazione dell’operazione;</w:t>
      </w:r>
    </w:p>
    <w:p>
      <w:pPr>
        <w:pStyle w:val="ListParagraph"/>
        <w:widowControl/>
        <w:numPr>
          <w:ilvl w:val="0"/>
          <w:numId w:val="39"/>
        </w:numPr>
        <w:spacing w:before="0" w:after="120"/>
        <w:ind w:left="357" w:hanging="357"/>
        <w:contextualSpacing w:val="false"/>
        <w:jc w:val="both"/>
        <w:rPr>
          <w:rFonts w:cs="Times New Roman"/>
          <w:color w:val="000009"/>
        </w:rPr>
      </w:pPr>
      <w:r>
        <w:rPr>
          <w:rFonts w:cs="Times New Roman"/>
          <w:color w:val="000009"/>
        </w:rPr>
        <w:t>assicurare di trovarsi in regola circa gli obblighi relativi al pagamento dei contributi previdenziali e assistenziali;</w:t>
      </w:r>
    </w:p>
    <w:p>
      <w:pPr>
        <w:pStyle w:val="ListParagraph"/>
        <w:widowControl/>
        <w:numPr>
          <w:ilvl w:val="0"/>
          <w:numId w:val="39"/>
        </w:numPr>
        <w:spacing w:before="0" w:after="120"/>
        <w:ind w:left="357" w:hanging="357"/>
        <w:contextualSpacing w:val="false"/>
        <w:jc w:val="both"/>
        <w:rPr>
          <w:rFonts w:cs="Times New Roman"/>
          <w:color w:val="000009"/>
        </w:rPr>
      </w:pPr>
      <w:r>
        <w:rPr>
          <w:rFonts w:cs="Times New Roman"/>
          <w:color w:val="000009"/>
        </w:rPr>
        <w:t>rispettare le disposizioni in materia di cumulo, di cui al punto 3.7;</w:t>
      </w:r>
    </w:p>
    <w:p>
      <w:pPr>
        <w:pStyle w:val="ListParagraph"/>
        <w:widowControl/>
        <w:numPr>
          <w:ilvl w:val="0"/>
          <w:numId w:val="39"/>
        </w:numPr>
        <w:spacing w:before="0" w:after="120"/>
        <w:ind w:left="357" w:hanging="357"/>
        <w:contextualSpacing w:val="false"/>
        <w:jc w:val="both"/>
        <w:rPr>
          <w:rFonts w:cs="Times New Roman"/>
          <w:color w:val="000009"/>
        </w:rPr>
      </w:pPr>
      <w:r>
        <w:rPr>
          <w:rFonts w:cs="Times New Roman"/>
          <w:color w:val="000009"/>
        </w:rPr>
        <w:t>mantenere, per tutto il periodo di completamento e fino all’istanza di erogazione a saldo, i requisiti per l’accesso al Contributo di cui al punto 2;</w:t>
      </w:r>
    </w:p>
    <w:p>
      <w:pPr>
        <w:pStyle w:val="ListParagraph"/>
        <w:widowControl/>
        <w:numPr>
          <w:ilvl w:val="0"/>
          <w:numId w:val="39"/>
        </w:numPr>
        <w:spacing w:before="0" w:after="120"/>
        <w:ind w:left="357" w:hanging="357"/>
        <w:contextualSpacing w:val="false"/>
        <w:jc w:val="both"/>
        <w:rPr>
          <w:rFonts w:cs="Times New Roman"/>
          <w:color w:val="000009"/>
        </w:rPr>
      </w:pPr>
      <w:r>
        <w:rPr>
          <w:rFonts w:cs="Times New Roman"/>
          <w:color w:val="000009"/>
        </w:rPr>
        <w:t>rispettare il vincolo di stabilità dell’operazione di cui all’Art. 65 del Reg. 1060/2021. Il vincolo di cui all’Art. 65 par. 1 primo comma è ridotto a tre anni;</w:t>
      </w:r>
    </w:p>
    <w:p>
      <w:pPr>
        <w:pStyle w:val="ListParagraph"/>
        <w:widowControl/>
        <w:numPr>
          <w:ilvl w:val="0"/>
          <w:numId w:val="39"/>
        </w:numPr>
        <w:spacing w:before="0" w:after="120"/>
        <w:ind w:left="357" w:hanging="357"/>
        <w:contextualSpacing w:val="false"/>
        <w:jc w:val="both"/>
        <w:rPr>
          <w:rFonts w:cs="Times New Roman"/>
          <w:color w:val="000009"/>
        </w:rPr>
      </w:pPr>
      <w:r>
        <w:rPr>
          <w:rFonts w:cs="Times New Roman"/>
          <w:color w:val="000009"/>
        </w:rPr>
        <w:t xml:space="preserve">garantire il rispetto delle disposizioni della norma in materia di aiuti di stato applicabile all'aiuto concesso; </w:t>
      </w:r>
    </w:p>
    <w:p>
      <w:pPr>
        <w:pStyle w:val="ListParagraph"/>
        <w:widowControl/>
        <w:numPr>
          <w:ilvl w:val="0"/>
          <w:numId w:val="39"/>
        </w:numPr>
        <w:spacing w:before="0" w:after="120"/>
        <w:ind w:left="357" w:hanging="357"/>
        <w:contextualSpacing w:val="false"/>
        <w:jc w:val="both"/>
        <w:rPr>
          <w:rFonts w:cs="Times New Roman"/>
          <w:color w:val="000009"/>
        </w:rPr>
      </w:pPr>
      <w:r>
        <w:rPr>
          <w:rFonts w:cs="Times New Roman"/>
          <w:color w:val="000009"/>
        </w:rPr>
        <w:t>ove sia richiesto dall’Amministrazione, fornire alla medesima, al completamento dell’operazione, una sintesi dei risultati raggiunti. Tali informazioni saranno diffuse tramite web o altri strumenti di comunicazione;</w:t>
      </w:r>
    </w:p>
    <w:p>
      <w:pPr>
        <w:pStyle w:val="ListParagraph"/>
        <w:widowControl/>
        <w:numPr>
          <w:ilvl w:val="0"/>
          <w:numId w:val="39"/>
        </w:numPr>
        <w:spacing w:before="0" w:after="120"/>
        <w:ind w:left="357" w:hanging="357"/>
        <w:contextualSpacing w:val="false"/>
        <w:jc w:val="both"/>
        <w:rPr>
          <w:rFonts w:cs="Times New Roman"/>
          <w:color w:val="000009"/>
        </w:rPr>
      </w:pPr>
      <w:r>
        <w:rPr>
          <w:rFonts w:cs="Times New Roman"/>
          <w:color w:val="000009"/>
        </w:rPr>
        <w:t>adeguarsi a regole specifiche relative alla visibilità e all’immagine del progetto, che verranno fornite dall’Amministrazione comunale;</w:t>
      </w:r>
    </w:p>
    <w:p>
      <w:pPr>
        <w:pStyle w:val="ListParagraph"/>
        <w:widowControl/>
        <w:numPr>
          <w:ilvl w:val="0"/>
          <w:numId w:val="39"/>
        </w:numPr>
        <w:spacing w:before="0" w:after="120"/>
        <w:ind w:left="357" w:hanging="357"/>
        <w:contextualSpacing w:val="false"/>
        <w:jc w:val="both"/>
        <w:rPr>
          <w:rFonts w:cs="Times New Roman"/>
          <w:color w:val="000009"/>
        </w:rPr>
      </w:pPr>
      <w:r>
        <w:rPr>
          <w:rFonts w:cs="Times New Roman"/>
          <w:color w:val="000009"/>
        </w:rPr>
        <w:t>ove ricorre, dare immediata comunicazione della volontà di rinunciare al contributo mediante posta elettronica certificata;</w:t>
      </w:r>
    </w:p>
    <w:p>
      <w:pPr>
        <w:pStyle w:val="ListParagraph"/>
        <w:widowControl/>
        <w:numPr>
          <w:ilvl w:val="0"/>
          <w:numId w:val="39"/>
        </w:numPr>
        <w:spacing w:before="0" w:after="120"/>
        <w:ind w:left="357" w:hanging="357"/>
        <w:contextualSpacing w:val="false"/>
        <w:jc w:val="both"/>
        <w:rPr>
          <w:rFonts w:cs="Times New Roman"/>
          <w:color w:val="000009"/>
        </w:rPr>
      </w:pPr>
      <w:r>
        <w:rPr>
          <w:rFonts w:cs="Times New Roman"/>
          <w:color w:val="000009"/>
        </w:rPr>
        <w:t>ove ricorre, dare tempestiva informazione circa l’insorgere di eventuali procedure amministrative o giudiziarie concernenti il progetto cofinanziato.</w:t>
      </w:r>
    </w:p>
    <w:p>
      <w:pPr>
        <w:pStyle w:val="Normal"/>
        <w:jc w:val="both"/>
        <w:rPr>
          <w:rFonts w:cs="Times New Roman"/>
          <w:color w:val="000009"/>
        </w:rPr>
      </w:pPr>
      <w:r>
        <w:rPr>
          <w:rFonts w:cs="Times New Roman"/>
          <w:color w:val="000009"/>
        </w:rPr>
      </w:r>
    </w:p>
    <w:p>
      <w:pPr>
        <w:pStyle w:val="Titolo2"/>
        <w:widowControl/>
        <w:numPr>
          <w:ilvl w:val="1"/>
          <w:numId w:val="4"/>
        </w:numPr>
        <w:tabs>
          <w:tab w:val="clear" w:pos="720"/>
          <w:tab w:val="left" w:pos="426" w:leader="none"/>
        </w:tabs>
        <w:spacing w:before="0" w:after="120"/>
        <w:ind w:left="357" w:hanging="357"/>
        <w:jc w:val="both"/>
        <w:rPr>
          <w:rFonts w:ascii="Titillium Web" w:hAnsi="Titillium Web" w:cs="Times New Roman"/>
          <w:b/>
          <w:b/>
          <w:bCs/>
          <w:color w:val="auto"/>
          <w:sz w:val="24"/>
          <w:szCs w:val="24"/>
        </w:rPr>
      </w:pPr>
      <w:r>
        <w:rPr>
          <w:rFonts w:cs="Times New Roman" w:ascii="Titillium Web" w:hAnsi="Titillium Web"/>
          <w:color w:val="000009"/>
          <w:sz w:val="22"/>
          <w:szCs w:val="22"/>
        </w:rPr>
        <w:t xml:space="preserve"> </w:t>
      </w:r>
      <w:bookmarkStart w:id="103" w:name="_Toc215218270"/>
      <w:bookmarkStart w:id="104" w:name="_Toc214529875"/>
      <w:bookmarkStart w:id="105" w:name="_Hlk214465278"/>
      <w:r>
        <w:rPr>
          <w:rFonts w:cs="Times New Roman" w:ascii="Titillium Web" w:hAnsi="Titillium Web"/>
          <w:b/>
          <w:bCs/>
          <w:color w:val="auto"/>
          <w:sz w:val="24"/>
          <w:szCs w:val="24"/>
        </w:rPr>
        <w:t>Controlli</w:t>
      </w:r>
      <w:bookmarkEnd w:id="103"/>
      <w:bookmarkEnd w:id="104"/>
      <w:bookmarkEnd w:id="105"/>
    </w:p>
    <w:p>
      <w:pPr>
        <w:pStyle w:val="ListParagraph"/>
        <w:widowControl/>
        <w:numPr>
          <w:ilvl w:val="0"/>
          <w:numId w:val="40"/>
        </w:numPr>
        <w:spacing w:before="0" w:after="120"/>
        <w:ind w:left="357" w:hanging="357"/>
        <w:contextualSpacing w:val="false"/>
        <w:jc w:val="both"/>
        <w:rPr>
          <w:rFonts w:cs="Times New Roman"/>
          <w:color w:val="000009"/>
        </w:rPr>
      </w:pPr>
      <w:r>
        <w:rPr>
          <w:rFonts w:cs="Times New Roman"/>
          <w:color w:val="000009"/>
        </w:rPr>
        <w:t>L’Amministrazione si riserva il diritto di esercitare, in ogni tempo, con le modalità che riterrà opportune, verifiche e controlli sull'avanzamento finanziario, procedurale e fisico dell'Intervento, oltre che il rispetto degli obblighi previsti dalla normativa vigente, nonché dal presente Avviso e la veridicità delle dichiarazioni e informazioni prodotte dal Beneficiario.</w:t>
      </w:r>
    </w:p>
    <w:p>
      <w:pPr>
        <w:pStyle w:val="ListParagraph"/>
        <w:widowControl/>
        <w:numPr>
          <w:ilvl w:val="0"/>
          <w:numId w:val="40"/>
        </w:numPr>
        <w:spacing w:before="0" w:after="120"/>
        <w:ind w:left="357" w:hanging="357"/>
        <w:contextualSpacing w:val="false"/>
        <w:jc w:val="both"/>
        <w:rPr>
          <w:rFonts w:cs="Times New Roman"/>
          <w:color w:val="000009"/>
        </w:rPr>
      </w:pPr>
      <w:r>
        <w:rPr>
          <w:rFonts w:cs="Times New Roman"/>
          <w:color w:val="000009"/>
        </w:rPr>
        <w:t>Tali verifiche non sollevano, in ogni caso, il Beneficiario dalla piena ed esclusiva responsabilità della regolare e perfetta esecuzione dell’intervento.</w:t>
      </w:r>
    </w:p>
    <w:p>
      <w:pPr>
        <w:pStyle w:val="ListParagraph"/>
        <w:widowControl/>
        <w:numPr>
          <w:ilvl w:val="0"/>
          <w:numId w:val="40"/>
        </w:numPr>
        <w:spacing w:before="0" w:after="120"/>
        <w:ind w:left="357" w:hanging="357"/>
        <w:contextualSpacing w:val="false"/>
        <w:jc w:val="both"/>
        <w:rPr>
          <w:rFonts w:cs="Times New Roman"/>
          <w:color w:val="000009"/>
        </w:rPr>
      </w:pPr>
      <w:r>
        <w:rPr>
          <w:rFonts w:cs="Times New Roman"/>
          <w:color w:val="000009"/>
        </w:rPr>
        <w:t>L’Amministrazione rimane estranea ad ogni rapporto comunque nascente con terzi in dipendenza della realizzazione dell’intervento. Le verifiche effettuate riguardano esclusivamente i rapporti che intercorrono con il Beneficiario.</w:t>
      </w:r>
    </w:p>
    <w:p>
      <w:pPr>
        <w:pStyle w:val="ListParagraph"/>
        <w:widowControl/>
        <w:numPr>
          <w:ilvl w:val="0"/>
          <w:numId w:val="40"/>
        </w:numPr>
        <w:spacing w:before="0" w:after="120"/>
        <w:ind w:left="357" w:hanging="357"/>
        <w:contextualSpacing w:val="false"/>
        <w:jc w:val="both"/>
        <w:rPr>
          <w:rFonts w:cs="Times New Roman"/>
          <w:color w:val="000009"/>
        </w:rPr>
      </w:pPr>
      <w:r>
        <w:rPr>
          <w:rFonts w:cs="Times New Roman"/>
          <w:color w:val="000009"/>
        </w:rPr>
        <w:t>Il Beneficiario deve conservare e rendere disponibile la documentazione relativa all’intervento, ivi compresi tutti i giustificativi di spesa annullati, così come indicato al par. 4.11, nonché a consentire le verifiche in loco, a favore delle autorità di controllo entro i termini temporali previsti dall’Art. 82 comma 1 del Reg. 1060/2021.</w:t>
      </w:r>
    </w:p>
    <w:p>
      <w:pPr>
        <w:pStyle w:val="ListParagraph"/>
        <w:widowControl/>
        <w:numPr>
          <w:ilvl w:val="0"/>
          <w:numId w:val="40"/>
        </w:numPr>
        <w:spacing w:before="0" w:after="120"/>
        <w:ind w:left="357" w:hanging="357"/>
        <w:contextualSpacing w:val="false"/>
        <w:jc w:val="both"/>
        <w:rPr>
          <w:rFonts w:cs="Times New Roman"/>
          <w:color w:val="000009"/>
        </w:rPr>
      </w:pPr>
      <w:r>
        <w:rPr>
          <w:rFonts w:cs="Times New Roman"/>
          <w:color w:val="000009"/>
        </w:rPr>
        <w:t>In caso di verifica, in sede di controllo, del mancato pieno rispetto delle discipline UE, nazionali e regionali, anche se non penalmente rilevanti, la l’Amministrazione procederà alla revoca totale del contributo e al recupero delle eventuali somme già erogate.</w:t>
      </w:r>
    </w:p>
    <w:p>
      <w:pPr>
        <w:pStyle w:val="Normal"/>
        <w:jc w:val="both"/>
        <w:rPr>
          <w:rFonts w:cs="Times New Roman"/>
          <w:color w:val="000009"/>
        </w:rPr>
      </w:pPr>
      <w:r>
        <w:rPr>
          <w:rFonts w:cs="Times New Roman"/>
          <w:color w:val="000009"/>
        </w:rPr>
      </w:r>
    </w:p>
    <w:p>
      <w:pPr>
        <w:pStyle w:val="Titolo2"/>
        <w:widowControl/>
        <w:numPr>
          <w:ilvl w:val="1"/>
          <w:numId w:val="4"/>
        </w:numPr>
        <w:tabs>
          <w:tab w:val="clear" w:pos="720"/>
          <w:tab w:val="left" w:pos="426" w:leader="none"/>
        </w:tabs>
        <w:spacing w:before="0" w:after="120"/>
        <w:ind w:left="357" w:hanging="357"/>
        <w:jc w:val="both"/>
        <w:rPr>
          <w:rFonts w:ascii="Titillium Web" w:hAnsi="Titillium Web" w:cs="Times New Roman"/>
          <w:b/>
          <w:b/>
          <w:bCs/>
          <w:color w:val="auto"/>
          <w:spacing w:val="-2"/>
          <w:sz w:val="24"/>
          <w:szCs w:val="24"/>
        </w:rPr>
      </w:pPr>
      <w:bookmarkStart w:id="106" w:name="_Toc215218271"/>
      <w:bookmarkStart w:id="107" w:name="_Toc214529876"/>
      <w:r>
        <w:rPr>
          <w:rFonts w:cs="Times New Roman" w:ascii="Titillium Web" w:hAnsi="Titillium Web"/>
          <w:b/>
          <w:bCs/>
          <w:color w:val="auto"/>
          <w:sz w:val="24"/>
          <w:szCs w:val="24"/>
        </w:rPr>
        <w:t xml:space="preserve"> </w:t>
      </w:r>
      <w:r>
        <w:rPr>
          <w:rFonts w:cs="Times New Roman" w:ascii="Titillium Web" w:hAnsi="Titillium Web"/>
          <w:b/>
          <w:bCs/>
          <w:color w:val="auto"/>
          <w:sz w:val="24"/>
          <w:szCs w:val="24"/>
        </w:rPr>
        <w:t>Variazioni</w:t>
      </w:r>
      <w:r>
        <w:rPr>
          <w:rFonts w:cs="Times New Roman" w:ascii="Titillium Web" w:hAnsi="Titillium Web"/>
          <w:b/>
          <w:bCs/>
          <w:color w:val="auto"/>
          <w:spacing w:val="-6"/>
          <w:sz w:val="24"/>
          <w:szCs w:val="24"/>
        </w:rPr>
        <w:t xml:space="preserve"> </w:t>
      </w:r>
      <w:r>
        <w:rPr>
          <w:rFonts w:cs="Times New Roman" w:ascii="Titillium Web" w:hAnsi="Titillium Web"/>
          <w:b/>
          <w:bCs/>
          <w:color w:val="auto"/>
          <w:sz w:val="24"/>
          <w:szCs w:val="24"/>
        </w:rPr>
        <w:t>all’operazione</w:t>
      </w:r>
      <w:r>
        <w:rPr>
          <w:rFonts w:cs="Times New Roman" w:ascii="Titillium Web" w:hAnsi="Titillium Web"/>
          <w:b/>
          <w:bCs/>
          <w:color w:val="auto"/>
          <w:spacing w:val="-7"/>
          <w:sz w:val="24"/>
          <w:szCs w:val="24"/>
        </w:rPr>
        <w:t xml:space="preserve"> </w:t>
      </w:r>
      <w:r>
        <w:rPr>
          <w:rFonts w:cs="Times New Roman" w:ascii="Titillium Web" w:hAnsi="Titillium Web"/>
          <w:b/>
          <w:bCs/>
          <w:color w:val="auto"/>
          <w:spacing w:val="-2"/>
          <w:sz w:val="24"/>
          <w:szCs w:val="24"/>
        </w:rPr>
        <w:t>finanziata</w:t>
      </w:r>
      <w:bookmarkEnd w:id="106"/>
      <w:bookmarkEnd w:id="107"/>
    </w:p>
    <w:p>
      <w:pPr>
        <w:pStyle w:val="ListParagraph"/>
        <w:widowControl/>
        <w:numPr>
          <w:ilvl w:val="0"/>
          <w:numId w:val="41"/>
        </w:numPr>
        <w:spacing w:before="0" w:after="120"/>
        <w:ind w:left="357" w:hanging="357"/>
        <w:contextualSpacing w:val="false"/>
        <w:jc w:val="both"/>
        <w:rPr>
          <w:rFonts w:cs="Times New Roman"/>
          <w:color w:val="000009"/>
        </w:rPr>
      </w:pPr>
      <w:r>
        <w:rPr>
          <w:rFonts w:cs="Times New Roman"/>
          <w:color w:val="000009"/>
        </w:rPr>
        <w:t>Il Beneficiario deve assicurare che gli interventi realizzati non siano sostanzialmente difformi dal piano di impresa ammesso, sempre che eventuali variazioni sostanziali non siano state preventivamente segnalate all’Amministrazione comunale e da questo autorizzate. Non sono da considerare come sostanziali eventuali variazioni di fornitore, marca, modello, prezzo unitario di un bene oggetto di finanziamento. Le variazioni non sostanziali possono essere effettuate senza previa comunicazione all’Amministrazione comunale e saranno oggetto di verifica in fase di controllo della rendicontazione delle spese.</w:t>
      </w:r>
    </w:p>
    <w:p>
      <w:pPr>
        <w:pStyle w:val="ListParagraph"/>
        <w:widowControl/>
        <w:numPr>
          <w:ilvl w:val="0"/>
          <w:numId w:val="41"/>
        </w:numPr>
        <w:spacing w:before="0" w:after="120"/>
        <w:ind w:left="357" w:hanging="357"/>
        <w:contextualSpacing w:val="false"/>
        <w:jc w:val="both"/>
        <w:rPr>
          <w:rFonts w:cs="Times New Roman"/>
          <w:color w:val="000009"/>
        </w:rPr>
      </w:pPr>
      <w:r>
        <w:rPr>
          <w:rFonts w:cs="Times New Roman"/>
          <w:color w:val="000009"/>
        </w:rPr>
        <w:t>Nel solo caso di variazioni sostanziali, il Beneficiario inoltra, all’Amministrazione comunale - Settore UPI economia urbana, occupazione, procedure di gara e negoziali, l’istanza di variazione, adeguatamente motivata, prima di mettere in atto le modifiche.</w:t>
      </w:r>
    </w:p>
    <w:p>
      <w:pPr>
        <w:pStyle w:val="ListParagraph"/>
        <w:widowControl/>
        <w:numPr>
          <w:ilvl w:val="0"/>
          <w:numId w:val="41"/>
        </w:numPr>
        <w:spacing w:before="0" w:after="120"/>
        <w:ind w:left="357" w:hanging="357"/>
        <w:contextualSpacing w:val="false"/>
        <w:jc w:val="both"/>
        <w:rPr>
          <w:rFonts w:cs="Times New Roman"/>
          <w:color w:val="000009"/>
        </w:rPr>
      </w:pPr>
      <w:r>
        <w:rPr>
          <w:rFonts w:cs="Times New Roman"/>
          <w:color w:val="000009"/>
        </w:rPr>
        <w:t>Il Settore UPI economia urbana, occupazione, procedure di gara e negoziali, valuterà la variazione richiesta e verificherà che non muti sostanzialmente il progetto per il quale il contributo è stato concesso.</w:t>
      </w:r>
    </w:p>
    <w:p>
      <w:pPr>
        <w:pStyle w:val="ListParagraph"/>
        <w:widowControl/>
        <w:numPr>
          <w:ilvl w:val="0"/>
          <w:numId w:val="41"/>
        </w:numPr>
        <w:spacing w:before="0" w:after="120"/>
        <w:ind w:left="357" w:hanging="357"/>
        <w:contextualSpacing w:val="false"/>
        <w:jc w:val="both"/>
        <w:rPr>
          <w:rFonts w:cs="Times New Roman"/>
          <w:color w:val="000009"/>
        </w:rPr>
      </w:pPr>
      <w:r>
        <w:rPr>
          <w:rFonts w:cs="Times New Roman"/>
          <w:color w:val="000009"/>
        </w:rPr>
        <w:t>La durata del processo di verifica sarà proporzionata alla complessità dell’operazione e l’esito, approvazione o rigetto, sarà comunicato via PEC al Beneficiario.</w:t>
      </w:r>
    </w:p>
    <w:p>
      <w:pPr>
        <w:pStyle w:val="ListParagraph"/>
        <w:widowControl/>
        <w:numPr>
          <w:ilvl w:val="0"/>
          <w:numId w:val="41"/>
        </w:numPr>
        <w:spacing w:before="0" w:after="120"/>
        <w:ind w:left="357" w:hanging="357"/>
        <w:contextualSpacing w:val="false"/>
        <w:jc w:val="both"/>
        <w:rPr>
          <w:rFonts w:cs="Times New Roman"/>
          <w:color w:val="000009"/>
        </w:rPr>
      </w:pPr>
      <w:r>
        <w:rPr>
          <w:rFonts w:cs="Times New Roman"/>
          <w:color w:val="000009"/>
        </w:rPr>
        <w:t>In caso di assenza di preventiva richiesta di variazione sostanziale o di mancata approvazione, l’Amministrazione si riserva la facoltà di decidere la revoca del Contributo.</w:t>
      </w:r>
    </w:p>
    <w:p>
      <w:pPr>
        <w:pStyle w:val="Normal"/>
        <w:jc w:val="both"/>
        <w:rPr>
          <w:rFonts w:cs="Times New Roman"/>
          <w:color w:val="000009"/>
        </w:rPr>
      </w:pPr>
      <w:r>
        <w:rPr>
          <w:rFonts w:cs="Times New Roman"/>
          <w:color w:val="000009"/>
        </w:rPr>
      </w:r>
    </w:p>
    <w:p>
      <w:pPr>
        <w:pStyle w:val="Titolo2"/>
        <w:widowControl/>
        <w:numPr>
          <w:ilvl w:val="1"/>
          <w:numId w:val="4"/>
        </w:numPr>
        <w:tabs>
          <w:tab w:val="clear" w:pos="720"/>
          <w:tab w:val="left" w:pos="426" w:leader="none"/>
        </w:tabs>
        <w:spacing w:before="0" w:after="120"/>
        <w:ind w:left="357" w:hanging="357"/>
        <w:jc w:val="both"/>
        <w:rPr>
          <w:rFonts w:ascii="Titillium Web" w:hAnsi="Titillium Web" w:cs="Times New Roman"/>
          <w:b/>
          <w:b/>
          <w:bCs/>
          <w:color w:val="auto"/>
          <w:sz w:val="24"/>
          <w:szCs w:val="24"/>
        </w:rPr>
      </w:pPr>
      <w:bookmarkStart w:id="108" w:name="_Toc214529877"/>
      <w:r>
        <w:rPr>
          <w:rFonts w:cs="Times New Roman" w:ascii="Titillium Web" w:hAnsi="Titillium Web"/>
          <w:b/>
          <w:bCs/>
          <w:color w:val="auto"/>
          <w:sz w:val="22"/>
          <w:szCs w:val="22"/>
        </w:rPr>
        <w:t xml:space="preserve"> </w:t>
      </w:r>
      <w:bookmarkStart w:id="109" w:name="_Toc215218272"/>
      <w:r>
        <w:rPr>
          <w:rFonts w:cs="Times New Roman" w:ascii="Titillium Web" w:hAnsi="Titillium Web"/>
          <w:b/>
          <w:bCs/>
          <w:color w:val="auto"/>
          <w:sz w:val="24"/>
          <w:szCs w:val="24"/>
        </w:rPr>
        <w:t>Cause di decadenza</w:t>
      </w:r>
      <w:bookmarkEnd w:id="108"/>
      <w:bookmarkEnd w:id="109"/>
    </w:p>
    <w:p>
      <w:pPr>
        <w:pStyle w:val="Normal"/>
        <w:spacing w:before="0" w:after="120"/>
        <w:jc w:val="both"/>
        <w:rPr>
          <w:rFonts w:cs="Times New Roman"/>
          <w:color w:val="000009"/>
        </w:rPr>
      </w:pPr>
      <w:r>
        <w:rPr>
          <w:rFonts w:cs="Times New Roman"/>
          <w:color w:val="000009"/>
        </w:rPr>
        <w:t>Il Beneficiario decade dal beneficio del Contributo concesso, con conseguente revoca dello stesso, nei seguenti casi:</w:t>
      </w:r>
    </w:p>
    <w:p>
      <w:pPr>
        <w:pStyle w:val="ListParagraph"/>
        <w:widowControl/>
        <w:numPr>
          <w:ilvl w:val="0"/>
          <w:numId w:val="42"/>
        </w:numPr>
        <w:spacing w:before="0" w:after="120"/>
        <w:ind w:left="357" w:hanging="357"/>
        <w:contextualSpacing w:val="false"/>
        <w:jc w:val="both"/>
        <w:rPr>
          <w:rFonts w:cs="Times New Roman"/>
          <w:color w:val="000009"/>
        </w:rPr>
      </w:pPr>
      <w:r>
        <w:rPr>
          <w:rFonts w:cs="Times New Roman"/>
          <w:color w:val="000009"/>
        </w:rPr>
        <w:t>contributo concesso sulla base di dati, notizie o dichiarazioni rese, false, inesatte o reticenti ai sensi del D.P.R. 445/2000 e ss.mm.ii., ferme restando le conseguenze previste dalle norme penali vigenti in materia;</w:t>
      </w:r>
    </w:p>
    <w:p>
      <w:pPr>
        <w:pStyle w:val="ListParagraph"/>
        <w:widowControl/>
        <w:numPr>
          <w:ilvl w:val="0"/>
          <w:numId w:val="42"/>
        </w:numPr>
        <w:spacing w:before="0" w:after="120"/>
        <w:ind w:left="357" w:hanging="357"/>
        <w:contextualSpacing w:val="false"/>
        <w:jc w:val="both"/>
        <w:rPr>
          <w:rFonts w:cs="Times New Roman"/>
          <w:color w:val="000009"/>
        </w:rPr>
      </w:pPr>
      <w:r>
        <w:rPr>
          <w:rFonts w:cs="Times New Roman"/>
          <w:color w:val="000009"/>
        </w:rPr>
        <w:t>mancanza o perdita sopravvenuta anche di uno solo dei requisiti di ammissibilità, richiesti a pena di decadenza dall’Avviso al momento della presentazione della domanda;</w:t>
      </w:r>
    </w:p>
    <w:p>
      <w:pPr>
        <w:pStyle w:val="ListParagraph"/>
        <w:widowControl/>
        <w:numPr>
          <w:ilvl w:val="0"/>
          <w:numId w:val="42"/>
        </w:numPr>
        <w:spacing w:before="0" w:after="120"/>
        <w:ind w:left="357" w:hanging="357"/>
        <w:contextualSpacing w:val="false"/>
        <w:jc w:val="both"/>
        <w:rPr>
          <w:rFonts w:cs="Times New Roman"/>
          <w:color w:val="000009"/>
        </w:rPr>
      </w:pPr>
      <w:r>
        <w:rPr>
          <w:rFonts w:cs="Times New Roman"/>
          <w:color w:val="000009"/>
        </w:rPr>
        <w:t>esito negativo delle verifiche di cui al punto 3;</w:t>
      </w:r>
    </w:p>
    <w:p>
      <w:pPr>
        <w:pStyle w:val="ListParagraph"/>
        <w:widowControl/>
        <w:numPr>
          <w:ilvl w:val="0"/>
          <w:numId w:val="42"/>
        </w:numPr>
        <w:spacing w:before="0" w:after="120"/>
        <w:ind w:left="357" w:hanging="357"/>
        <w:contextualSpacing w:val="false"/>
        <w:jc w:val="both"/>
        <w:rPr>
          <w:rFonts w:cs="Times New Roman"/>
          <w:color w:val="000009"/>
        </w:rPr>
      </w:pPr>
      <w:r>
        <w:rPr>
          <w:rFonts w:cs="Times New Roman"/>
          <w:color w:val="000009"/>
        </w:rPr>
        <w:t>presentazione di più di una domanda a valere sul presente Avviso.</w:t>
      </w:r>
    </w:p>
    <w:p>
      <w:pPr>
        <w:pStyle w:val="Normal"/>
        <w:jc w:val="both"/>
        <w:rPr>
          <w:rFonts w:cs="Times New Roman"/>
          <w:color w:val="000009"/>
        </w:rPr>
      </w:pPr>
      <w:r>
        <w:rPr>
          <w:rFonts w:cs="Times New Roman"/>
          <w:color w:val="000009"/>
        </w:rPr>
      </w:r>
    </w:p>
    <w:p>
      <w:pPr>
        <w:pStyle w:val="Titolo2"/>
        <w:widowControl/>
        <w:numPr>
          <w:ilvl w:val="1"/>
          <w:numId w:val="4"/>
        </w:numPr>
        <w:tabs>
          <w:tab w:val="clear" w:pos="720"/>
          <w:tab w:val="left" w:pos="426" w:leader="none"/>
        </w:tabs>
        <w:spacing w:before="0" w:after="120"/>
        <w:ind w:left="357" w:hanging="357"/>
        <w:jc w:val="both"/>
        <w:rPr>
          <w:rFonts w:ascii="Titillium Web" w:hAnsi="Titillium Web" w:cs="Times New Roman"/>
          <w:b/>
          <w:b/>
          <w:bCs/>
          <w:color w:val="auto"/>
          <w:sz w:val="24"/>
          <w:szCs w:val="24"/>
        </w:rPr>
      </w:pPr>
      <w:bookmarkStart w:id="110" w:name="_Toc214529878"/>
      <w:r>
        <w:rPr>
          <w:rFonts w:cs="Times New Roman" w:ascii="Titillium Web" w:hAnsi="Titillium Web"/>
          <w:b/>
          <w:bCs/>
          <w:color w:val="auto"/>
          <w:sz w:val="22"/>
          <w:szCs w:val="22"/>
        </w:rPr>
        <w:t xml:space="preserve"> </w:t>
      </w:r>
      <w:bookmarkStart w:id="111" w:name="_Toc215218273"/>
      <w:r>
        <w:rPr>
          <w:rFonts w:cs="Times New Roman" w:ascii="Titillium Web" w:hAnsi="Titillium Web"/>
          <w:b/>
          <w:bCs/>
          <w:color w:val="auto"/>
          <w:sz w:val="24"/>
          <w:szCs w:val="24"/>
        </w:rPr>
        <w:t>Revoca del contributo</w:t>
      </w:r>
      <w:bookmarkEnd w:id="110"/>
      <w:bookmarkEnd w:id="111"/>
    </w:p>
    <w:p>
      <w:pPr>
        <w:pStyle w:val="ListParagraph"/>
        <w:widowControl/>
        <w:numPr>
          <w:ilvl w:val="0"/>
          <w:numId w:val="43"/>
        </w:numPr>
        <w:spacing w:before="0" w:after="120"/>
        <w:ind w:left="357" w:hanging="357"/>
        <w:contextualSpacing w:val="false"/>
        <w:jc w:val="both"/>
        <w:rPr>
          <w:rFonts w:cs="Times New Roman"/>
          <w:color w:val="000009"/>
        </w:rPr>
      </w:pPr>
      <w:r>
        <w:rPr>
          <w:rFonts w:cs="Times New Roman"/>
          <w:color w:val="000009"/>
        </w:rPr>
        <w:t>Sono motivi di revoca totale del Contributo:</w:t>
      </w:r>
    </w:p>
    <w:p>
      <w:pPr>
        <w:pStyle w:val="ListParagraph"/>
        <w:widowControl/>
        <w:numPr>
          <w:ilvl w:val="0"/>
          <w:numId w:val="44"/>
        </w:numPr>
        <w:spacing w:before="0" w:after="120"/>
        <w:ind w:left="714" w:hanging="357"/>
        <w:contextualSpacing w:val="false"/>
        <w:jc w:val="both"/>
        <w:rPr>
          <w:rFonts w:cs="Times New Roman"/>
          <w:color w:val="000009"/>
        </w:rPr>
      </w:pPr>
      <w:r>
        <w:rPr>
          <w:rFonts w:cs="Times New Roman"/>
          <w:color w:val="000009"/>
        </w:rPr>
        <w:t>la perdita dei requisiti di ammissibilità durante l’attuazione dell’intervento e di rendicontazione finale delle spese sostenute;</w:t>
      </w:r>
    </w:p>
    <w:p>
      <w:pPr>
        <w:pStyle w:val="ListParagraph"/>
        <w:widowControl/>
        <w:numPr>
          <w:ilvl w:val="0"/>
          <w:numId w:val="44"/>
        </w:numPr>
        <w:spacing w:before="0" w:after="120"/>
        <w:ind w:left="714" w:hanging="357"/>
        <w:contextualSpacing w:val="false"/>
        <w:jc w:val="both"/>
        <w:rPr>
          <w:rFonts w:cs="Times New Roman"/>
          <w:color w:val="000009"/>
        </w:rPr>
      </w:pPr>
      <w:r>
        <w:rPr>
          <w:rFonts w:cs="Times New Roman"/>
          <w:color w:val="000009"/>
        </w:rPr>
        <w:t>l’inerzia, intesa come mancata realizzazione dell’intervento, e/o realizzazione difforme da quella autorizzata e/o realizzazione parziale, fatto salvo il caso di cui alla seguente lettera d);</w:t>
      </w:r>
    </w:p>
    <w:p>
      <w:pPr>
        <w:pStyle w:val="ListParagraph"/>
        <w:widowControl/>
        <w:numPr>
          <w:ilvl w:val="0"/>
          <w:numId w:val="44"/>
        </w:numPr>
        <w:spacing w:before="0" w:after="120"/>
        <w:ind w:left="714" w:hanging="357"/>
        <w:contextualSpacing w:val="false"/>
        <w:jc w:val="both"/>
        <w:rPr>
          <w:rFonts w:cs="Times New Roman"/>
          <w:color w:val="000009"/>
        </w:rPr>
      </w:pPr>
      <w:r>
        <w:rPr>
          <w:rFonts w:cs="Times New Roman"/>
          <w:color w:val="000009"/>
        </w:rPr>
        <w:t>la mancata realizzazione di almeno il 70% dell’intervento ammesso a Contributo nei tempi di realizzazione previsti. La percentuale di realizzazione è determinata facendo riferimento ai costi dell’intervento effettivamente rendicontati, in rapporto a quelli previsti dal piano finanziario approvato;</w:t>
      </w:r>
    </w:p>
    <w:p>
      <w:pPr>
        <w:pStyle w:val="ListParagraph"/>
        <w:widowControl/>
        <w:numPr>
          <w:ilvl w:val="0"/>
          <w:numId w:val="44"/>
        </w:numPr>
        <w:spacing w:before="0" w:after="120"/>
        <w:ind w:left="714" w:hanging="357"/>
        <w:contextualSpacing w:val="false"/>
        <w:jc w:val="both"/>
        <w:rPr>
          <w:rFonts w:cs="Times New Roman"/>
          <w:color w:val="000009"/>
        </w:rPr>
      </w:pPr>
      <w:r>
        <w:rPr>
          <w:rFonts w:cs="Times New Roman"/>
          <w:color w:val="000009"/>
        </w:rPr>
        <w:t>l’assoggettamento a liquidazione giudiziale o altre procedure concorsuali (ex L. n. 155 del 19 ottobre 2017 recante “Legge Delega per la riforma delle discipline della crisi di impresa e dell'insolvenza” e successivi decreti attuativi), per effetto del comportamento fraudolento del Beneficiario;</w:t>
      </w:r>
    </w:p>
    <w:p>
      <w:pPr>
        <w:pStyle w:val="ListParagraph"/>
        <w:widowControl/>
        <w:numPr>
          <w:ilvl w:val="0"/>
          <w:numId w:val="44"/>
        </w:numPr>
        <w:spacing w:before="0" w:after="120"/>
        <w:ind w:left="714" w:hanging="357"/>
        <w:contextualSpacing w:val="false"/>
        <w:jc w:val="both"/>
        <w:rPr>
          <w:rFonts w:cs="Times New Roman"/>
          <w:color w:val="000009"/>
        </w:rPr>
      </w:pPr>
      <w:r>
        <w:rPr>
          <w:rFonts w:cs="Times New Roman"/>
          <w:color w:val="000009"/>
        </w:rPr>
        <w:t>la violazione degli obblighi previsti dalla normativa di riferimento, in materia di Fondi SIE, incluse le disposizioni in materia di pubblicità;</w:t>
      </w:r>
    </w:p>
    <w:p>
      <w:pPr>
        <w:pStyle w:val="ListParagraph"/>
        <w:widowControl/>
        <w:numPr>
          <w:ilvl w:val="0"/>
          <w:numId w:val="44"/>
        </w:numPr>
        <w:spacing w:before="0" w:after="120"/>
        <w:ind w:left="714" w:hanging="357"/>
        <w:contextualSpacing w:val="false"/>
        <w:jc w:val="both"/>
        <w:rPr>
          <w:rFonts w:cs="Times New Roman"/>
          <w:color w:val="000009"/>
        </w:rPr>
      </w:pPr>
      <w:r>
        <w:rPr>
          <w:rFonts w:cs="Times New Roman"/>
          <w:color w:val="000009"/>
        </w:rPr>
        <w:t>l’accertata violazione, in via definitiva, da parte degli organismi competenti, degli obblighi applicabili in materia di sicurezza degli ambienti di lavoro, di rispetto dei contratti collettivi di lavoro e in materia previdenziale ed assicurativa;</w:t>
      </w:r>
    </w:p>
    <w:p>
      <w:pPr>
        <w:pStyle w:val="ListParagraph"/>
        <w:widowControl/>
        <w:numPr>
          <w:ilvl w:val="0"/>
          <w:numId w:val="44"/>
        </w:numPr>
        <w:spacing w:before="0" w:after="120"/>
        <w:ind w:left="714" w:hanging="357"/>
        <w:contextualSpacing w:val="false"/>
        <w:jc w:val="both"/>
        <w:rPr>
          <w:rFonts w:cs="Times New Roman"/>
          <w:color w:val="000009"/>
        </w:rPr>
      </w:pPr>
      <w:r>
        <w:rPr>
          <w:rFonts w:cs="Times New Roman"/>
          <w:color w:val="000009"/>
        </w:rPr>
        <w:t>la violazione degli obblighi relativi alla stabilità dell’operazione ex Art. 65 del Reg. 1060/2021 per i successivi 3 anni dal pagamento finale al beneficiario ovvero nel caso di i) cessazione o rilocalizzazione di un'attività produttiva al di fuori dell'area del programma, oppure di ii) modifica sostanziale che alteri la natura, gli obiettivi o le condizioni di attuazione dell'operazione, con il risultato di comprometterne gli obiettivi originari;</w:t>
      </w:r>
    </w:p>
    <w:p>
      <w:pPr>
        <w:pStyle w:val="ListParagraph"/>
        <w:widowControl/>
        <w:numPr>
          <w:ilvl w:val="0"/>
          <w:numId w:val="44"/>
        </w:numPr>
        <w:spacing w:before="0" w:after="120"/>
        <w:ind w:left="714" w:hanging="357"/>
        <w:contextualSpacing w:val="false"/>
        <w:jc w:val="both"/>
        <w:rPr>
          <w:rFonts w:cs="Times New Roman"/>
          <w:color w:val="000009"/>
        </w:rPr>
      </w:pPr>
      <w:r>
        <w:rPr>
          <w:rFonts w:cs="Times New Roman"/>
          <w:color w:val="000009"/>
        </w:rPr>
        <w:t>l’accertata causa di decadenza, per indebita percezione del Contributo per carenza dei requisiti essenziali o per irregolarità della documentazione prodotta comunque non sanabili e imputabili al Beneficiario, ovvero confermati con provvedimento definitivo (per dolo o colpa grave);</w:t>
      </w:r>
    </w:p>
    <w:p>
      <w:pPr>
        <w:pStyle w:val="ListParagraph"/>
        <w:widowControl/>
        <w:numPr>
          <w:ilvl w:val="0"/>
          <w:numId w:val="44"/>
        </w:numPr>
        <w:spacing w:before="0" w:after="120"/>
        <w:ind w:left="714" w:hanging="357"/>
        <w:contextualSpacing w:val="false"/>
        <w:jc w:val="both"/>
        <w:rPr>
          <w:rFonts w:cs="Times New Roman"/>
          <w:color w:val="000009"/>
        </w:rPr>
      </w:pPr>
      <w:r>
        <w:rPr>
          <w:rFonts w:cs="Times New Roman"/>
          <w:color w:val="000009"/>
        </w:rPr>
        <w:t xml:space="preserve">tutti i casi di violazione degli obblighi di cui al punto 4.13. </w:t>
      </w:r>
    </w:p>
    <w:p>
      <w:pPr>
        <w:pStyle w:val="Normal"/>
        <w:spacing w:before="0" w:after="120"/>
        <w:ind w:left="357" w:hanging="357"/>
        <w:jc w:val="both"/>
        <w:rPr>
          <w:rFonts w:cs="Times New Roman"/>
          <w:color w:val="000009"/>
        </w:rPr>
      </w:pPr>
      <w:r>
        <w:rPr>
          <w:rFonts w:cs="Times New Roman"/>
          <w:color w:val="000009"/>
        </w:rPr>
        <w:t>2. Il provvedimento di revoca costituisce in capo all’Amministrazione, il diritto ad esigere l’immediato recupero del Contributo erogato e dispone il recupero delle eventuali somme già erogate e non dovute, maggiorate di un interesse pari al tasso ufficiale di riferimento BCE vigente, maggiorato di cinque punti percentuali, calcolato dal momento dell’erogazione.</w:t>
      </w:r>
    </w:p>
    <w:p>
      <w:pPr>
        <w:pStyle w:val="Normal"/>
        <w:jc w:val="both"/>
        <w:rPr>
          <w:rFonts w:cs="Times New Roman"/>
          <w:color w:val="000009"/>
        </w:rPr>
      </w:pPr>
      <w:r>
        <w:rPr>
          <w:rFonts w:cs="Times New Roman"/>
          <w:color w:val="000009"/>
        </w:rPr>
      </w:r>
    </w:p>
    <w:p>
      <w:pPr>
        <w:pStyle w:val="Titolo2"/>
        <w:widowControl/>
        <w:numPr>
          <w:ilvl w:val="1"/>
          <w:numId w:val="4"/>
        </w:numPr>
        <w:tabs>
          <w:tab w:val="clear" w:pos="720"/>
          <w:tab w:val="left" w:pos="426" w:leader="none"/>
        </w:tabs>
        <w:spacing w:before="0" w:after="120"/>
        <w:ind w:left="357" w:hanging="357"/>
        <w:jc w:val="both"/>
        <w:rPr>
          <w:rFonts w:ascii="Titillium Web" w:hAnsi="Titillium Web" w:cs="Times New Roman"/>
          <w:b/>
          <w:b/>
          <w:bCs/>
          <w:color w:val="auto"/>
          <w:sz w:val="24"/>
          <w:szCs w:val="24"/>
        </w:rPr>
      </w:pPr>
      <w:bookmarkStart w:id="112" w:name="_Toc214529879"/>
      <w:r>
        <w:rPr>
          <w:rFonts w:cs="Times New Roman" w:ascii="Titillium Web" w:hAnsi="Titillium Web"/>
          <w:b/>
          <w:bCs/>
          <w:color w:val="auto"/>
          <w:sz w:val="22"/>
          <w:szCs w:val="22"/>
        </w:rPr>
        <w:t xml:space="preserve"> </w:t>
      </w:r>
      <w:bookmarkStart w:id="113" w:name="_Toc215218274"/>
      <w:r>
        <w:rPr>
          <w:rFonts w:cs="Times New Roman" w:ascii="Titillium Web" w:hAnsi="Titillium Web"/>
          <w:b/>
          <w:bCs/>
          <w:color w:val="auto"/>
          <w:sz w:val="24"/>
          <w:szCs w:val="24"/>
        </w:rPr>
        <w:t>Rinuncia al contributo</w:t>
      </w:r>
      <w:bookmarkEnd w:id="112"/>
      <w:bookmarkEnd w:id="113"/>
    </w:p>
    <w:p>
      <w:pPr>
        <w:pStyle w:val="Normal"/>
        <w:spacing w:before="0" w:after="120"/>
        <w:jc w:val="both"/>
        <w:rPr>
          <w:rFonts w:cs="Times New Roman"/>
          <w:color w:val="000009"/>
        </w:rPr>
      </w:pPr>
      <w:r>
        <w:rPr>
          <w:rFonts w:cs="Times New Roman"/>
          <w:color w:val="000009"/>
        </w:rPr>
        <w:t>I beneficiari, fino al completamento dell’operazione, possono rinunciare al contributo concesso inviando una comunicazione formale all’Amministrazione comunale.</w:t>
      </w:r>
    </w:p>
    <w:p>
      <w:pPr>
        <w:pStyle w:val="Normal"/>
        <w:jc w:val="both"/>
        <w:rPr>
          <w:rFonts w:cs="Times New Roman"/>
          <w:color w:val="000009"/>
        </w:rPr>
      </w:pPr>
      <w:r>
        <w:rPr>
          <w:rFonts w:cs="Times New Roman"/>
          <w:color w:val="000009"/>
        </w:rPr>
      </w:r>
    </w:p>
    <w:p>
      <w:pPr>
        <w:pStyle w:val="Titolo1"/>
        <w:tabs>
          <w:tab w:val="clear" w:pos="720"/>
          <w:tab w:val="left" w:pos="619" w:leader="none"/>
        </w:tabs>
        <w:spacing w:before="0" w:after="120"/>
        <w:ind w:left="357" w:hanging="357"/>
        <w:jc w:val="both"/>
        <w:rPr>
          <w:rFonts w:ascii="Titillium Web" w:hAnsi="Titillium Web" w:cs="Times New Roman"/>
          <w:b/>
          <w:b/>
          <w:bCs/>
          <w:color w:val="auto"/>
          <w:spacing w:val="-2"/>
          <w:sz w:val="28"/>
          <w:szCs w:val="28"/>
        </w:rPr>
      </w:pPr>
      <w:bookmarkStart w:id="114" w:name="_Toc215218275"/>
      <w:bookmarkStart w:id="115" w:name="_Toc214529880"/>
      <w:r>
        <w:rPr>
          <w:rFonts w:cs="Times New Roman" w:ascii="Titillium Web" w:hAnsi="Titillium Web"/>
          <w:b/>
          <w:bCs/>
          <w:color w:val="auto"/>
          <w:sz w:val="28"/>
          <w:szCs w:val="28"/>
        </w:rPr>
        <w:t>5. Disposizioni</w:t>
      </w:r>
      <w:r>
        <w:rPr>
          <w:rFonts w:cs="Times New Roman" w:ascii="Titillium Web" w:hAnsi="Titillium Web"/>
          <w:b/>
          <w:bCs/>
          <w:color w:val="auto"/>
          <w:spacing w:val="-6"/>
          <w:sz w:val="28"/>
          <w:szCs w:val="28"/>
        </w:rPr>
        <w:t xml:space="preserve"> </w:t>
      </w:r>
      <w:r>
        <w:rPr>
          <w:rFonts w:cs="Times New Roman" w:ascii="Titillium Web" w:hAnsi="Titillium Web"/>
          <w:b/>
          <w:bCs/>
          <w:color w:val="auto"/>
          <w:spacing w:val="-2"/>
          <w:sz w:val="28"/>
          <w:szCs w:val="28"/>
        </w:rPr>
        <w:t>finali</w:t>
      </w:r>
      <w:bookmarkEnd w:id="114"/>
      <w:bookmarkEnd w:id="115"/>
    </w:p>
    <w:p>
      <w:pPr>
        <w:pStyle w:val="Normal"/>
        <w:jc w:val="both"/>
        <w:rPr/>
      </w:pPr>
      <w:r>
        <w:rPr/>
      </w:r>
    </w:p>
    <w:p>
      <w:pPr>
        <w:pStyle w:val="Titolo2"/>
        <w:widowControl/>
        <w:numPr>
          <w:ilvl w:val="1"/>
          <w:numId w:val="3"/>
        </w:numPr>
        <w:tabs>
          <w:tab w:val="clear" w:pos="720"/>
          <w:tab w:val="left" w:pos="426" w:leader="none"/>
        </w:tabs>
        <w:spacing w:before="0" w:after="120"/>
        <w:ind w:left="357" w:hanging="357"/>
        <w:jc w:val="both"/>
        <w:rPr>
          <w:rFonts w:ascii="Titillium Web" w:hAnsi="Titillium Web" w:cs="Times New Roman"/>
          <w:b/>
          <w:b/>
          <w:bCs/>
          <w:color w:val="auto"/>
          <w:sz w:val="24"/>
          <w:szCs w:val="24"/>
        </w:rPr>
      </w:pPr>
      <w:bookmarkStart w:id="116" w:name="_Toc215218276"/>
      <w:bookmarkStart w:id="117" w:name="_Toc214529881"/>
      <w:r>
        <w:rPr>
          <w:rFonts w:cs="Times New Roman" w:ascii="Titillium Web" w:hAnsi="Titillium Web"/>
          <w:b/>
          <w:bCs/>
          <w:color w:val="auto"/>
          <w:sz w:val="24"/>
          <w:szCs w:val="24"/>
        </w:rPr>
        <w:t>Informazione,</w:t>
      </w:r>
      <w:r>
        <w:rPr>
          <w:rFonts w:cs="Times New Roman" w:ascii="Titillium Web" w:hAnsi="Titillium Web"/>
          <w:b/>
          <w:bCs/>
          <w:color w:val="auto"/>
          <w:spacing w:val="-5"/>
          <w:sz w:val="24"/>
          <w:szCs w:val="24"/>
        </w:rPr>
        <w:t xml:space="preserve"> </w:t>
      </w:r>
      <w:r>
        <w:rPr>
          <w:rFonts w:cs="Times New Roman" w:ascii="Titillium Web" w:hAnsi="Titillium Web"/>
          <w:b/>
          <w:bCs/>
          <w:color w:val="auto"/>
          <w:sz w:val="24"/>
          <w:szCs w:val="24"/>
        </w:rPr>
        <w:t>pubblicità</w:t>
      </w:r>
      <w:r>
        <w:rPr>
          <w:rFonts w:cs="Times New Roman" w:ascii="Titillium Web" w:hAnsi="Titillium Web"/>
          <w:b/>
          <w:bCs/>
          <w:color w:val="auto"/>
          <w:spacing w:val="-3"/>
          <w:sz w:val="24"/>
          <w:szCs w:val="24"/>
        </w:rPr>
        <w:t xml:space="preserve"> </w:t>
      </w:r>
      <w:r>
        <w:rPr>
          <w:rFonts w:cs="Times New Roman" w:ascii="Titillium Web" w:hAnsi="Titillium Web"/>
          <w:b/>
          <w:bCs/>
          <w:color w:val="auto"/>
          <w:sz w:val="24"/>
          <w:szCs w:val="24"/>
        </w:rPr>
        <w:t>e</w:t>
      </w:r>
      <w:r>
        <w:rPr>
          <w:rFonts w:cs="Times New Roman" w:ascii="Titillium Web" w:hAnsi="Titillium Web"/>
          <w:b/>
          <w:bCs/>
          <w:color w:val="auto"/>
          <w:spacing w:val="-3"/>
          <w:sz w:val="24"/>
          <w:szCs w:val="24"/>
        </w:rPr>
        <w:t xml:space="preserve"> </w:t>
      </w:r>
      <w:r>
        <w:rPr>
          <w:rFonts w:cs="Times New Roman" w:ascii="Titillium Web" w:hAnsi="Titillium Web"/>
          <w:b/>
          <w:bCs/>
          <w:color w:val="auto"/>
          <w:sz w:val="24"/>
          <w:szCs w:val="24"/>
        </w:rPr>
        <w:t>comunicazione</w:t>
      </w:r>
      <w:r>
        <w:rPr>
          <w:rFonts w:cs="Times New Roman" w:ascii="Titillium Web" w:hAnsi="Titillium Web"/>
          <w:b/>
          <w:bCs/>
          <w:color w:val="auto"/>
          <w:spacing w:val="-4"/>
          <w:sz w:val="24"/>
          <w:szCs w:val="24"/>
        </w:rPr>
        <w:t xml:space="preserve"> </w:t>
      </w:r>
      <w:r>
        <w:rPr>
          <w:rFonts w:cs="Times New Roman" w:ascii="Titillium Web" w:hAnsi="Titillium Web"/>
          <w:b/>
          <w:bCs/>
          <w:color w:val="auto"/>
          <w:sz w:val="24"/>
          <w:szCs w:val="24"/>
        </w:rPr>
        <w:t>dei</w:t>
      </w:r>
      <w:r>
        <w:rPr>
          <w:rFonts w:cs="Times New Roman" w:ascii="Titillium Web" w:hAnsi="Titillium Web"/>
          <w:b/>
          <w:bCs/>
          <w:color w:val="auto"/>
          <w:spacing w:val="-3"/>
          <w:sz w:val="24"/>
          <w:szCs w:val="24"/>
        </w:rPr>
        <w:t xml:space="preserve"> </w:t>
      </w:r>
      <w:r>
        <w:rPr>
          <w:rFonts w:cs="Times New Roman" w:ascii="Titillium Web" w:hAnsi="Titillium Web"/>
          <w:b/>
          <w:bCs/>
          <w:color w:val="auto"/>
          <w:spacing w:val="-2"/>
          <w:sz w:val="24"/>
          <w:szCs w:val="24"/>
        </w:rPr>
        <w:t>risultati</w:t>
      </w:r>
      <w:bookmarkEnd w:id="116"/>
      <w:bookmarkEnd w:id="117"/>
    </w:p>
    <w:p>
      <w:pPr>
        <w:pStyle w:val="ListParagraph"/>
        <w:widowControl/>
        <w:numPr>
          <w:ilvl w:val="0"/>
          <w:numId w:val="45"/>
        </w:numPr>
        <w:spacing w:before="0" w:after="120"/>
        <w:ind w:left="357" w:hanging="357"/>
        <w:contextualSpacing w:val="false"/>
        <w:jc w:val="both"/>
        <w:rPr>
          <w:rFonts w:cs="Times New Roman"/>
          <w:color w:val="000009"/>
        </w:rPr>
      </w:pPr>
      <w:r>
        <w:rPr>
          <w:rFonts w:cs="Times New Roman"/>
          <w:color w:val="000009"/>
        </w:rPr>
        <w:t>Il Beneficiario è obbligato al rispetto delle norme applicabili in materia di informazione e pubblicità del finanziamento dell’intervento, secondo quanto in merito previsto dall’Allegato XII del regolamento 1060/2021, nonché da quanto alle disposizioni del Capo II del Regolamento di Esecuzione (UE) 821/2014.</w:t>
      </w:r>
    </w:p>
    <w:p>
      <w:pPr>
        <w:pStyle w:val="ListParagraph"/>
        <w:widowControl/>
        <w:numPr>
          <w:ilvl w:val="0"/>
          <w:numId w:val="45"/>
        </w:numPr>
        <w:spacing w:before="0" w:after="120"/>
        <w:ind w:left="357" w:hanging="357"/>
        <w:contextualSpacing w:val="false"/>
        <w:jc w:val="both"/>
        <w:rPr>
          <w:rFonts w:cs="Times New Roman"/>
          <w:color w:val="000009"/>
        </w:rPr>
      </w:pPr>
      <w:r>
        <w:rPr>
          <w:rFonts w:cs="Times New Roman"/>
          <w:color w:val="000009"/>
        </w:rPr>
        <w:t>Per ciascun intervento che usufruisca del contributo previsto dal presente Avviso, il beneficiario è tenuto ad informare i terzi in modo chiaro che l’operazione in corso di realizzazione è stata selezionata nell’ambito del PN Metro Plus e città Medie del Sud 2021/2027 – Città di Reggio Calabria.</w:t>
      </w:r>
    </w:p>
    <w:p>
      <w:pPr>
        <w:pStyle w:val="ListParagraph"/>
        <w:widowControl/>
        <w:numPr>
          <w:ilvl w:val="0"/>
          <w:numId w:val="45"/>
        </w:numPr>
        <w:spacing w:before="0" w:after="120"/>
        <w:ind w:left="357" w:hanging="357"/>
        <w:contextualSpacing w:val="false"/>
        <w:jc w:val="both"/>
        <w:rPr>
          <w:rFonts w:cs="Times New Roman"/>
          <w:color w:val="000009"/>
        </w:rPr>
      </w:pPr>
      <w:r>
        <w:rPr>
          <w:rFonts w:cs="Times New Roman"/>
          <w:color w:val="000009"/>
        </w:rPr>
        <w:t>I soggetti beneficiari delle risorse del presente Avviso dovranno obbligatoriamente riportare, su qualsiasi documento, sito web, comunicazione (a valenza esterna) riguardante il progetto finanziato, un’indicazione da cui risulti che l’operazione è finanziata nell’ambito del PN Metro Plus e città Medie del Sud 2021/2027 – Città di Reggio Calabria, con il concorso di risorse comunitarie.</w:t>
      </w:r>
    </w:p>
    <w:p>
      <w:pPr>
        <w:pStyle w:val="ListParagraph"/>
        <w:widowControl/>
        <w:numPr>
          <w:ilvl w:val="0"/>
          <w:numId w:val="45"/>
        </w:numPr>
        <w:spacing w:before="0" w:after="120"/>
        <w:ind w:left="357" w:hanging="357"/>
        <w:contextualSpacing w:val="false"/>
        <w:jc w:val="both"/>
        <w:rPr>
          <w:rFonts w:cs="Times New Roman"/>
          <w:color w:val="000009"/>
        </w:rPr>
      </w:pPr>
      <w:r>
        <w:rPr>
          <w:rFonts w:cs="Times New Roman"/>
          <w:color w:val="000009"/>
        </w:rPr>
        <w:t>Dei risultati delle attività realizzate sul presente Avviso verrà data pubblicità nei modi concordati con l’Amministrazione Comunale, compatibilmente con eventuali vincoli di diritto che possano insorgere in particolare nell’interazione con conoscenze e know-how specifici di enti e imprese coinvolte.</w:t>
      </w:r>
    </w:p>
    <w:p>
      <w:pPr>
        <w:pStyle w:val="ListParagraph"/>
        <w:spacing w:before="0" w:after="0"/>
        <w:ind w:left="357" w:hanging="0"/>
        <w:contextualSpacing w:val="false"/>
        <w:jc w:val="both"/>
        <w:rPr>
          <w:rFonts w:cs="Times New Roman"/>
          <w:color w:val="000009"/>
        </w:rPr>
      </w:pPr>
      <w:r>
        <w:rPr>
          <w:rFonts w:cs="Times New Roman"/>
          <w:color w:val="000009"/>
        </w:rPr>
      </w:r>
    </w:p>
    <w:p>
      <w:pPr>
        <w:pStyle w:val="Titolo1"/>
        <w:tabs>
          <w:tab w:val="clear" w:pos="720"/>
          <w:tab w:val="left" w:pos="619" w:leader="none"/>
        </w:tabs>
        <w:spacing w:before="0" w:after="120"/>
        <w:ind w:left="357" w:hanging="357"/>
        <w:jc w:val="both"/>
        <w:rPr>
          <w:rFonts w:ascii="Titillium Web" w:hAnsi="Titillium Web" w:cs="Times New Roman"/>
          <w:b/>
          <w:b/>
          <w:bCs/>
          <w:color w:val="auto"/>
          <w:sz w:val="22"/>
          <w:szCs w:val="22"/>
        </w:rPr>
      </w:pPr>
      <w:bookmarkStart w:id="118" w:name="_Toc215218277"/>
      <w:bookmarkStart w:id="119" w:name="_Toc214529882"/>
      <w:r>
        <w:rPr>
          <w:rFonts w:cs="Times New Roman" w:ascii="Titillium Web" w:hAnsi="Titillium Web"/>
          <w:b/>
          <w:bCs/>
          <w:color w:val="auto"/>
          <w:sz w:val="28"/>
          <w:szCs w:val="28"/>
        </w:rPr>
        <w:t>6. Trattamento dei dati personali</w:t>
      </w:r>
      <w:bookmarkEnd w:id="118"/>
      <w:bookmarkEnd w:id="119"/>
    </w:p>
    <w:p>
      <w:pPr>
        <w:pStyle w:val="Normal"/>
        <w:jc w:val="both"/>
        <w:rPr>
          <w:rFonts w:cs="Times New Roman"/>
          <w:color w:val="000009"/>
        </w:rPr>
      </w:pPr>
      <w:r>
        <w:rPr>
          <w:rFonts w:cs="Times New Roman"/>
          <w:color w:val="000009"/>
        </w:rPr>
      </w:r>
    </w:p>
    <w:p>
      <w:pPr>
        <w:pStyle w:val="Titolo3"/>
        <w:tabs>
          <w:tab w:val="clear" w:pos="720"/>
          <w:tab w:val="left" w:pos="334" w:leader="none"/>
        </w:tabs>
        <w:spacing w:before="0" w:after="120"/>
        <w:ind w:left="357" w:hanging="357"/>
        <w:jc w:val="both"/>
        <w:rPr>
          <w:rFonts w:ascii="Titillium Web" w:hAnsi="Titillium Web" w:cs="Times New Roman"/>
          <w:b/>
          <w:b/>
          <w:bCs/>
          <w:color w:val="auto"/>
          <w:spacing w:val="-2"/>
          <w:sz w:val="22"/>
          <w:szCs w:val="22"/>
        </w:rPr>
      </w:pPr>
      <w:bookmarkStart w:id="120" w:name="_Toc215218278"/>
      <w:bookmarkStart w:id="121" w:name="_Toc214529883"/>
      <w:r>
        <w:rPr>
          <w:rFonts w:cs="Times New Roman" w:ascii="Titillium Web" w:hAnsi="Titillium Web"/>
          <w:b/>
          <w:bCs/>
          <w:color w:val="auto"/>
          <w:sz w:val="22"/>
          <w:szCs w:val="22"/>
        </w:rPr>
        <w:t xml:space="preserve">6.1 </w:t>
      </w:r>
      <w:r>
        <w:rPr>
          <w:rFonts w:cs="Times New Roman" w:ascii="Titillium Web" w:hAnsi="Titillium Web"/>
          <w:b/>
          <w:bCs/>
          <w:color w:val="auto"/>
        </w:rPr>
        <w:t>INFORMATIVA</w:t>
      </w:r>
      <w:r>
        <w:rPr>
          <w:rFonts w:cs="Times New Roman" w:ascii="Titillium Web" w:hAnsi="Titillium Web"/>
          <w:b/>
          <w:bCs/>
          <w:color w:val="auto"/>
          <w:spacing w:val="-9"/>
        </w:rPr>
        <w:t xml:space="preserve"> </w:t>
      </w:r>
      <w:r>
        <w:rPr>
          <w:rFonts w:cs="Times New Roman" w:ascii="Titillium Web" w:hAnsi="Titillium Web"/>
          <w:b/>
          <w:bCs/>
          <w:color w:val="auto"/>
        </w:rPr>
        <w:t>ai</w:t>
      </w:r>
      <w:r>
        <w:rPr>
          <w:rFonts w:cs="Times New Roman" w:ascii="Titillium Web" w:hAnsi="Titillium Web"/>
          <w:b/>
          <w:bCs/>
          <w:color w:val="auto"/>
          <w:spacing w:val="-4"/>
        </w:rPr>
        <w:t xml:space="preserve"> </w:t>
      </w:r>
      <w:r>
        <w:rPr>
          <w:rFonts w:cs="Times New Roman" w:ascii="Titillium Web" w:hAnsi="Titillium Web"/>
          <w:b/>
          <w:bCs/>
          <w:color w:val="auto"/>
        </w:rPr>
        <w:t>sensi</w:t>
      </w:r>
      <w:r>
        <w:rPr>
          <w:rFonts w:cs="Times New Roman" w:ascii="Titillium Web" w:hAnsi="Titillium Web"/>
          <w:b/>
          <w:bCs/>
          <w:color w:val="auto"/>
          <w:spacing w:val="-4"/>
        </w:rPr>
        <w:t xml:space="preserve"> </w:t>
      </w:r>
      <w:r>
        <w:rPr>
          <w:rFonts w:cs="Times New Roman" w:ascii="Titillium Web" w:hAnsi="Titillium Web"/>
          <w:b/>
          <w:bCs/>
          <w:color w:val="auto"/>
        </w:rPr>
        <w:t>dell’articolo</w:t>
      </w:r>
      <w:r>
        <w:rPr>
          <w:rFonts w:cs="Times New Roman" w:ascii="Titillium Web" w:hAnsi="Titillium Web"/>
          <w:b/>
          <w:bCs/>
          <w:color w:val="auto"/>
          <w:spacing w:val="-7"/>
        </w:rPr>
        <w:t xml:space="preserve"> </w:t>
      </w:r>
      <w:r>
        <w:rPr>
          <w:rFonts w:cs="Times New Roman" w:ascii="Titillium Web" w:hAnsi="Titillium Web"/>
          <w:b/>
          <w:bCs/>
          <w:color w:val="auto"/>
        </w:rPr>
        <w:t>13</w:t>
      </w:r>
      <w:r>
        <w:rPr>
          <w:rFonts w:cs="Times New Roman" w:ascii="Titillium Web" w:hAnsi="Titillium Web"/>
          <w:b/>
          <w:bCs/>
          <w:color w:val="auto"/>
          <w:spacing w:val="-5"/>
        </w:rPr>
        <w:t xml:space="preserve"> </w:t>
      </w:r>
      <w:r>
        <w:rPr>
          <w:rFonts w:cs="Times New Roman" w:ascii="Titillium Web" w:hAnsi="Titillium Web"/>
          <w:b/>
          <w:bCs/>
          <w:color w:val="auto"/>
        </w:rPr>
        <w:t>del</w:t>
      </w:r>
      <w:r>
        <w:rPr>
          <w:rFonts w:cs="Times New Roman" w:ascii="Titillium Web" w:hAnsi="Titillium Web"/>
          <w:b/>
          <w:bCs/>
          <w:color w:val="auto"/>
          <w:spacing w:val="-4"/>
        </w:rPr>
        <w:t xml:space="preserve"> </w:t>
      </w:r>
      <w:r>
        <w:rPr>
          <w:rFonts w:cs="Times New Roman" w:ascii="Titillium Web" w:hAnsi="Titillium Web"/>
          <w:b/>
          <w:bCs/>
          <w:color w:val="auto"/>
        </w:rPr>
        <w:t>regolamento</w:t>
      </w:r>
      <w:r>
        <w:rPr>
          <w:rFonts w:cs="Times New Roman" w:ascii="Titillium Web" w:hAnsi="Titillium Web"/>
          <w:b/>
          <w:bCs/>
          <w:color w:val="auto"/>
          <w:spacing w:val="-5"/>
        </w:rPr>
        <w:t xml:space="preserve"> </w:t>
      </w:r>
      <w:r>
        <w:rPr>
          <w:rFonts w:cs="Times New Roman" w:ascii="Titillium Web" w:hAnsi="Titillium Web"/>
          <w:b/>
          <w:bCs/>
          <w:color w:val="auto"/>
        </w:rPr>
        <w:t>UE</w:t>
      </w:r>
      <w:r>
        <w:rPr>
          <w:rFonts w:cs="Times New Roman" w:ascii="Titillium Web" w:hAnsi="Titillium Web"/>
          <w:b/>
          <w:bCs/>
          <w:color w:val="auto"/>
          <w:spacing w:val="-3"/>
        </w:rPr>
        <w:t xml:space="preserve"> </w:t>
      </w:r>
      <w:r>
        <w:rPr>
          <w:rFonts w:cs="Times New Roman" w:ascii="Titillium Web" w:hAnsi="Titillium Web"/>
          <w:b/>
          <w:bCs/>
          <w:color w:val="auto"/>
        </w:rPr>
        <w:t>n.</w:t>
      </w:r>
      <w:r>
        <w:rPr>
          <w:rFonts w:cs="Times New Roman" w:ascii="Titillium Web" w:hAnsi="Titillium Web"/>
          <w:b/>
          <w:bCs/>
          <w:color w:val="auto"/>
          <w:spacing w:val="-6"/>
        </w:rPr>
        <w:t xml:space="preserve"> </w:t>
      </w:r>
      <w:r>
        <w:rPr>
          <w:rFonts w:cs="Times New Roman" w:ascii="Titillium Web" w:hAnsi="Titillium Web"/>
          <w:b/>
          <w:bCs/>
          <w:color w:val="auto"/>
          <w:spacing w:val="-2"/>
        </w:rPr>
        <w:t>2016/679</w:t>
      </w:r>
      <w:bookmarkEnd w:id="120"/>
      <w:bookmarkEnd w:id="121"/>
    </w:p>
    <w:p>
      <w:pPr>
        <w:pStyle w:val="Normal"/>
        <w:spacing w:before="0" w:after="120"/>
        <w:jc w:val="both"/>
        <w:rPr>
          <w:rFonts w:cs="Times New Roman"/>
          <w:color w:val="000009"/>
        </w:rPr>
      </w:pPr>
      <w:r>
        <w:rPr>
          <w:rFonts w:cs="Times New Roman"/>
          <w:color w:val="000009"/>
        </w:rPr>
        <w:t>Ai sensi dell’art. 13 del Regolamento UE n. 2016/679, l’Amministrazione comunale, in qualità di "Titolare" del trattamento dei dati personali, è tenuta a fornire le informazioni riguardanti l'utilizzo dei dati personali che La riguardano al fine di assicurarne la correttezza, liceità, trasparenza e tutela della Sua riservatezza e dei Suoi diritti.</w:t>
      </w:r>
    </w:p>
    <w:p>
      <w:pPr>
        <w:pStyle w:val="Normal"/>
        <w:jc w:val="both"/>
        <w:rPr>
          <w:rFonts w:cs="Times New Roman"/>
          <w:color w:val="000009"/>
        </w:rPr>
      </w:pPr>
      <w:r>
        <w:rPr>
          <w:rFonts w:cs="Times New Roman"/>
          <w:color w:val="000009"/>
        </w:rPr>
      </w:r>
    </w:p>
    <w:p>
      <w:pPr>
        <w:pStyle w:val="Titolo3"/>
        <w:tabs>
          <w:tab w:val="clear" w:pos="720"/>
          <w:tab w:val="left" w:pos="334" w:leader="none"/>
        </w:tabs>
        <w:spacing w:before="0" w:after="120"/>
        <w:ind w:left="357" w:hanging="357"/>
        <w:jc w:val="both"/>
        <w:rPr>
          <w:rFonts w:ascii="Titillium Web" w:hAnsi="Titillium Web" w:cs="Times New Roman"/>
          <w:b/>
          <w:b/>
          <w:bCs/>
          <w:color w:val="auto"/>
          <w:sz w:val="22"/>
          <w:szCs w:val="22"/>
        </w:rPr>
      </w:pPr>
      <w:bookmarkStart w:id="122" w:name="_Toc215218279"/>
      <w:bookmarkStart w:id="123" w:name="_Toc214529884"/>
      <w:r>
        <w:rPr>
          <w:rFonts w:cs="Times New Roman" w:ascii="Titillium Web" w:hAnsi="Titillium Web"/>
          <w:b/>
          <w:bCs/>
          <w:color w:val="auto"/>
          <w:sz w:val="22"/>
          <w:szCs w:val="22"/>
        </w:rPr>
        <w:t xml:space="preserve">6.2 </w:t>
      </w:r>
      <w:r>
        <w:rPr>
          <w:rFonts w:cs="Times New Roman" w:ascii="Titillium Web" w:hAnsi="Titillium Web"/>
          <w:b/>
          <w:bCs/>
          <w:color w:val="auto"/>
        </w:rPr>
        <w:t>Titolare del trattamento</w:t>
      </w:r>
      <w:bookmarkEnd w:id="122"/>
      <w:bookmarkEnd w:id="123"/>
    </w:p>
    <w:p>
      <w:pPr>
        <w:pStyle w:val="Normal"/>
        <w:spacing w:before="0" w:after="120"/>
        <w:jc w:val="both"/>
        <w:rPr>
          <w:color w:val="auto"/>
        </w:rPr>
      </w:pPr>
      <w:r>
        <w:rPr>
          <w:rFonts w:cs="Times New Roman"/>
          <w:color w:val="auto"/>
        </w:rPr>
        <w:t xml:space="preserve">Ai sensi degli articoli 13 del Regolamento Europeo n. 2016/679, il Titolare del trattamento dei dati (il “Titolare”) è il Comune di Reggio Calabria, con sede a Reggio Calabria,  </w:t>
      </w:r>
      <w:r>
        <w:rPr>
          <w:color w:val="auto"/>
        </w:rPr>
        <w:t>Palazzo S. Giorgio, Piazza Italia 1; P. IVA/C.F. 00136380805; Tel. 0965/21510;</w:t>
      </w:r>
    </w:p>
    <w:p>
      <w:pPr>
        <w:pStyle w:val="Normal"/>
        <w:spacing w:before="0" w:after="120"/>
        <w:jc w:val="both"/>
        <w:rPr>
          <w:color w:val="auto"/>
        </w:rPr>
      </w:pPr>
      <w:r>
        <w:rPr>
          <w:color w:val="auto"/>
        </w:rPr>
        <w:t>PEC: </w:t>
      </w:r>
      <w:hyperlink r:id="rId2" w:tgtFrame="mailto:protocollo@pec.reggiocal.it">
        <w:r>
          <w:rPr>
            <w:rStyle w:val="CollegamentoInternet"/>
            <w:color w:val="auto"/>
          </w:rPr>
          <w:t>protocollo@pec.reggiocal.it</w:t>
        </w:r>
      </w:hyperlink>
      <w:r>
        <w:rPr>
          <w:color w:val="auto"/>
        </w:rPr>
        <w:t>; Postaelettronica: </w:t>
      </w:r>
      <w:hyperlink r:id="rId3" w:tgtFrame="mailto:sindaco@reggiocal.it">
        <w:r>
          <w:rPr>
            <w:rStyle w:val="CollegamentoInternet"/>
            <w:color w:val="auto"/>
          </w:rPr>
          <w:t>sindaco@reggiocal.it</w:t>
        </w:r>
      </w:hyperlink>
      <w:r>
        <w:rPr>
          <w:color w:val="auto"/>
        </w:rPr>
        <w:t>. </w:t>
      </w:r>
    </w:p>
    <w:p>
      <w:pPr>
        <w:pStyle w:val="Normal"/>
        <w:spacing w:before="0" w:after="120"/>
        <w:jc w:val="both"/>
        <w:rPr>
          <w:color w:val="auto"/>
        </w:rPr>
      </w:pPr>
      <w:r>
        <w:rPr>
          <w:color w:val="auto"/>
        </w:rPr>
        <w:t>Ai responsabili o agli addetti, eventualmente designati, il titolare impartirà adeguate istruzioni operative, con particolare riferimento all’adozione delle misure minime di sicurezza, al fine di poter garantire la riservatezza e la sicurezza dei dati.</w:t>
      </w:r>
    </w:p>
    <w:p>
      <w:pPr>
        <w:pStyle w:val="Normal"/>
        <w:jc w:val="both"/>
        <w:rPr>
          <w:rFonts w:cs="Times New Roman"/>
          <w:color w:val="000009"/>
        </w:rPr>
      </w:pPr>
      <w:r>
        <w:rPr>
          <w:rFonts w:cs="Times New Roman"/>
          <w:color w:val="000009"/>
        </w:rPr>
      </w:r>
    </w:p>
    <w:p>
      <w:pPr>
        <w:pStyle w:val="Titolo3"/>
        <w:tabs>
          <w:tab w:val="clear" w:pos="720"/>
          <w:tab w:val="left" w:pos="334" w:leader="none"/>
        </w:tabs>
        <w:spacing w:before="0" w:after="120"/>
        <w:ind w:left="357" w:hanging="357"/>
        <w:jc w:val="both"/>
        <w:rPr>
          <w:rFonts w:ascii="Titillium Web" w:hAnsi="Titillium Web" w:cs="Times New Roman"/>
          <w:b/>
          <w:b/>
          <w:bCs/>
          <w:color w:val="auto"/>
        </w:rPr>
      </w:pPr>
      <w:bookmarkStart w:id="124" w:name="_Toc215218280"/>
      <w:bookmarkStart w:id="125" w:name="_Toc214529885"/>
      <w:r>
        <w:rPr>
          <w:rFonts w:cs="Times New Roman" w:ascii="Titillium Web" w:hAnsi="Titillium Web"/>
          <w:b/>
          <w:bCs/>
          <w:color w:val="auto"/>
          <w:sz w:val="22"/>
          <w:szCs w:val="22"/>
        </w:rPr>
        <w:t xml:space="preserve">6.3 </w:t>
      </w:r>
      <w:r>
        <w:rPr>
          <w:rFonts w:cs="Times New Roman" w:ascii="Titillium Web" w:hAnsi="Titillium Web"/>
          <w:b/>
          <w:bCs/>
          <w:color w:val="auto"/>
        </w:rPr>
        <w:t>Responsabile della protezione dei dati (DPO)</w:t>
      </w:r>
      <w:bookmarkEnd w:id="124"/>
      <w:bookmarkEnd w:id="125"/>
    </w:p>
    <w:p>
      <w:pPr>
        <w:pStyle w:val="Normal"/>
        <w:spacing w:before="0" w:after="120"/>
        <w:rPr>
          <w:color w:val="auto"/>
        </w:rPr>
      </w:pPr>
      <w:r>
        <w:rPr>
          <w:rFonts w:cs="Times New Roman"/>
          <w:color w:val="auto"/>
        </w:rPr>
        <w:t xml:space="preserve">Il </w:t>
      </w:r>
      <w:r>
        <w:rPr>
          <w:color w:val="auto"/>
        </w:rPr>
        <w:t>Presso questo Ente, conformemente a quanto previsto dall’art 37 e ss. del Reg. 679/16, è stato designato un Data Protection Officer (DPO). I dati di contatto del DPO sono: Logos Pubblica Amministrazione – Fondazione di Partecipazione, P.IVA 02404510808 con sede legale in Reggio Calabria alla Via Lia n. 13 (Cap 89100) Mail di contatto: “</w:t>
      </w:r>
      <w:hyperlink r:id="rId4" w:tgtFrame="mailto:dpo@reggiocal.it">
        <w:r>
          <w:rPr>
            <w:rStyle w:val="CollegamentoInternet"/>
            <w:color w:val="auto"/>
          </w:rPr>
          <w:t>dpo@reggiocal.it</w:t>
        </w:r>
      </w:hyperlink>
      <w:r>
        <w:rPr>
          <w:color w:val="auto"/>
        </w:rPr>
        <w:t>”.</w:t>
      </w:r>
    </w:p>
    <w:p>
      <w:pPr>
        <w:pStyle w:val="Normal"/>
        <w:jc w:val="both"/>
        <w:rPr>
          <w:rFonts w:cs="Times New Roman"/>
          <w:color w:val="000009"/>
        </w:rPr>
      </w:pPr>
      <w:r>
        <w:rPr>
          <w:rFonts w:cs="Times New Roman"/>
          <w:color w:val="000009"/>
        </w:rPr>
      </w:r>
    </w:p>
    <w:p>
      <w:pPr>
        <w:pStyle w:val="Normal"/>
        <w:jc w:val="both"/>
        <w:rPr>
          <w:rFonts w:cs="Times New Roman"/>
          <w:color w:val="000009"/>
        </w:rPr>
      </w:pPr>
      <w:r>
        <w:rPr>
          <w:rFonts w:cs="Times New Roman"/>
          <w:color w:val="000009"/>
        </w:rPr>
      </w:r>
    </w:p>
    <w:p>
      <w:pPr>
        <w:pStyle w:val="Normal"/>
        <w:jc w:val="both"/>
        <w:rPr>
          <w:rFonts w:cs="Times New Roman"/>
          <w:color w:val="000009"/>
        </w:rPr>
      </w:pPr>
      <w:r>
        <w:rPr>
          <w:rFonts w:cs="Times New Roman"/>
          <w:color w:val="000009"/>
        </w:rPr>
      </w:r>
    </w:p>
    <w:p>
      <w:pPr>
        <w:pStyle w:val="Titolo3"/>
        <w:tabs>
          <w:tab w:val="clear" w:pos="720"/>
          <w:tab w:val="left" w:pos="334" w:leader="none"/>
        </w:tabs>
        <w:spacing w:before="0" w:after="120"/>
        <w:ind w:left="357" w:hanging="357"/>
        <w:jc w:val="both"/>
        <w:rPr>
          <w:rFonts w:ascii="Aptos" w:hAnsi="Aptos" w:cs="Times New Roman"/>
          <w:b/>
          <w:b/>
          <w:bCs/>
          <w:color w:val="auto"/>
          <w:spacing w:val="-2"/>
          <w:sz w:val="22"/>
          <w:szCs w:val="22"/>
        </w:rPr>
      </w:pPr>
      <w:bookmarkStart w:id="126" w:name="_Toc215218281"/>
      <w:bookmarkStart w:id="127" w:name="_Toc214529886"/>
      <w:r>
        <w:rPr>
          <w:rFonts w:cs="Times New Roman" w:ascii="Titillium Web" w:hAnsi="Titillium Web"/>
          <w:b/>
          <w:bCs/>
          <w:color w:val="auto"/>
          <w:sz w:val="22"/>
          <w:szCs w:val="22"/>
        </w:rPr>
        <w:t xml:space="preserve">6.4 </w:t>
      </w:r>
      <w:r>
        <w:rPr>
          <w:rFonts w:cs="Times New Roman" w:ascii="Titillium Web" w:hAnsi="Titillium Web"/>
          <w:b/>
          <w:bCs/>
          <w:color w:val="auto"/>
        </w:rPr>
        <w:t>Finalità del Trattamento. Base giuridica del Trattamento</w:t>
      </w:r>
      <w:bookmarkEnd w:id="126"/>
      <w:bookmarkEnd w:id="127"/>
    </w:p>
    <w:p>
      <w:pPr>
        <w:pStyle w:val="Normal"/>
        <w:spacing w:before="0" w:after="120"/>
        <w:jc w:val="both"/>
        <w:rPr>
          <w:rFonts w:cs="Times New Roman"/>
          <w:i/>
          <w:i/>
          <w:iCs/>
          <w:color w:val="000009"/>
        </w:rPr>
      </w:pPr>
      <w:r>
        <w:rPr>
          <w:rFonts w:cs="Times New Roman"/>
          <w:i/>
          <w:iCs/>
          <w:color w:val="000009"/>
        </w:rPr>
        <w:t>Dati personali</w:t>
      </w:r>
    </w:p>
    <w:p>
      <w:pPr>
        <w:pStyle w:val="ListParagraph"/>
        <w:widowControl/>
        <w:numPr>
          <w:ilvl w:val="0"/>
          <w:numId w:val="46"/>
        </w:numPr>
        <w:spacing w:before="0" w:after="120"/>
        <w:ind w:left="357" w:hanging="357"/>
        <w:contextualSpacing w:val="false"/>
        <w:jc w:val="both"/>
        <w:rPr>
          <w:rFonts w:cs="Times New Roman"/>
          <w:color w:val="000009"/>
        </w:rPr>
      </w:pPr>
      <w:r>
        <w:rPr>
          <w:rFonts w:cs="Times New Roman"/>
          <w:color w:val="000009"/>
        </w:rPr>
        <w:t>I dati personali verranno trattati dal Titolare del trattamento, sulla base di uno o più dei seguenti presupposti di liceità (base giuridica), per le finalità di seguito indicate.</w:t>
      </w:r>
    </w:p>
    <w:p>
      <w:pPr>
        <w:pStyle w:val="ListParagraph"/>
        <w:widowControl/>
        <w:numPr>
          <w:ilvl w:val="0"/>
          <w:numId w:val="46"/>
        </w:numPr>
        <w:spacing w:before="0" w:after="120"/>
        <w:ind w:left="357" w:hanging="357"/>
        <w:contextualSpacing w:val="false"/>
        <w:jc w:val="both"/>
        <w:rPr>
          <w:rFonts w:cs="Times New Roman"/>
          <w:color w:val="000009"/>
        </w:rPr>
      </w:pPr>
      <w:r>
        <w:rPr>
          <w:rFonts w:cs="Times New Roman"/>
          <w:color w:val="000009"/>
        </w:rPr>
        <w:t>Il trattamento dei dati personali è necessario per l'esecuzione di un compito di interesse pubblico o connesso all'esercizio di pubblici poteri di cui è investito il Titolare del trattamento (art. 6, comma 1, lett. e) del Regolamento UE n. 2016/679).</w:t>
      </w:r>
    </w:p>
    <w:p>
      <w:pPr>
        <w:pStyle w:val="ListParagraph"/>
        <w:widowControl/>
        <w:numPr>
          <w:ilvl w:val="0"/>
          <w:numId w:val="46"/>
        </w:numPr>
        <w:spacing w:before="0" w:after="120"/>
        <w:ind w:left="357" w:hanging="357"/>
        <w:contextualSpacing w:val="false"/>
        <w:jc w:val="both"/>
        <w:rPr>
          <w:rFonts w:cs="Times New Roman"/>
          <w:color w:val="000009"/>
        </w:rPr>
      </w:pPr>
      <w:r>
        <w:rPr>
          <w:rFonts w:cs="Times New Roman"/>
          <w:color w:val="000009"/>
        </w:rPr>
        <w:t>I dati personali saranno trattati per le finalità di cui al presente Avviso, per gli adempimenti connessi al relativo procedimento (ivi compresa la fase dei controlli sulle autocertificazioni) e per scopi istituzionali. In particolare, tali dati verranno acquisiti dal Titolare per verificare la sussistenza dei requisiti necessari per la partecipazione all’Avviso, previsti per legge ai fini della partecipazione all’Avviso medesimo, in adempimento di precisi obblighi di legge derivanti dai regolamenti comunitari, nonché atti delegati e di esecuzione della Commissione connessi al ciclo di programmazione 2021-2027, dalla normativa in materia di appalti, aiuti di stato e contrattualistica pubblica. Inoltre i dati dei potenziali beneficiari e degli operatori economici potranno essere trattati per la gestione amministrativo contabile delle operazioni ammesse a finanziamento, per l’attività di monitoraggio su Sistemi informativi regionali (ad es. SIURP) e nazionali, per il trattamento delle irregolarità, segnalazioni e schede OLAF, per l’elaborazione di documenti previsti dalla normativa nazionale e comunitaria (ad es. sintesi annuale di cui all'articolo 59, paragrafo 5, lettere a) e b), del regolamento finanziario), per l’elaborazione di report in seguito a missioni di audit da parte di organismi comunitari, per l’elaborazione di report in seguito a richieste di organismi di controllo nazionali, ecc..</w:t>
      </w:r>
    </w:p>
    <w:p>
      <w:pPr>
        <w:pStyle w:val="ListParagraph"/>
        <w:widowControl/>
        <w:numPr>
          <w:ilvl w:val="0"/>
          <w:numId w:val="46"/>
        </w:numPr>
        <w:spacing w:before="0" w:after="120"/>
        <w:ind w:left="357" w:hanging="357"/>
        <w:contextualSpacing w:val="false"/>
        <w:jc w:val="both"/>
        <w:rPr>
          <w:rFonts w:cs="Times New Roman"/>
          <w:color w:val="000009"/>
        </w:rPr>
      </w:pPr>
      <w:r>
        <w:rPr>
          <w:rFonts w:cs="Times New Roman"/>
          <w:color w:val="000009"/>
        </w:rPr>
        <w:t>il trattamento è necessario all'esecuzione di un contratto di cui l'interessato è parte o all'esecuzione di misure precontrattuali adottate su richiesta dello stesso (Art. 6.1, lett. b) del Regolamento UE n. 2016/679). I dati saranno trattati esclusivamente ai fini della gestione ed esecuzione economica ed amministrativa dell’operazione (compresi i controlli di primo livello, il trattamento delle irregolarità, segnalazioni e schede OLAF, audit di secondo livello sulla spesa certificata, erogazione dei pagamenti, pareri di coerenza programmatica, gestione amministrativo contabile delle operazioni ammesse a finanziamento, attività di monitoraggio su Sistemi informativi regionali, ad es. SIURP, e nazionali, controlli di primo livello, desk e in loco, sulla spesa da esporre nelle Domande di pagamento ex art. 125 del regolamento UE n.1303/2013, elaborazione di documenti previsti dalla normativa nazionale e comunitaria, quali ad esempio sintesi annuale di cui all'articolo 59, paragrafo 5, lettere a) e b) del regolamento finanziario, alimentazione del e verifiche condotte sul Registro nazionale aiuti ove ricorre, elaborazione di report in seguito a missioni di audit da parte di organismi comunitari, elaborazioni di report in seguito a richieste di organismi di controllo nazionali, erogazione dei pagamenti relativi ad operazioni finanziate e relativa trasmissione degli ordinativi informatici al Tesoriere regionale e al sistema governativo SIOPE+, trattamento dei dati che confluiscono su COEC, SISGAP, PCC, certificazione alla Commissione Europea della spesa relativa alle risorse POR, invio delle domande di pagamento alla Commissione Europea, ecc..);</w:t>
      </w:r>
    </w:p>
    <w:p>
      <w:pPr>
        <w:pStyle w:val="ListParagraph"/>
        <w:widowControl/>
        <w:numPr>
          <w:ilvl w:val="0"/>
          <w:numId w:val="46"/>
        </w:numPr>
        <w:spacing w:before="0" w:after="120"/>
        <w:ind w:left="357" w:hanging="357"/>
        <w:contextualSpacing w:val="false"/>
        <w:jc w:val="both"/>
        <w:rPr>
          <w:rFonts w:cs="Times New Roman"/>
          <w:color w:val="000009"/>
        </w:rPr>
      </w:pPr>
      <w:r>
        <w:rPr>
          <w:rFonts w:cs="Times New Roman"/>
          <w:color w:val="000009"/>
        </w:rPr>
        <w:t>il trattamento è necessario per adempiere un obbligo legale al quale è soggetto il Titolare del trattamento (Art. 6.1, lett. c) del Reg. 679/2016). I dati saranno trattati per l’adempimento degli obblighi legali.</w:t>
      </w:r>
    </w:p>
    <w:p>
      <w:pPr>
        <w:pStyle w:val="Normal"/>
        <w:jc w:val="both"/>
        <w:rPr>
          <w:rFonts w:cs="Times New Roman"/>
          <w:color w:val="000009"/>
        </w:rPr>
      </w:pPr>
      <w:r>
        <w:rPr>
          <w:rFonts w:cs="Times New Roman"/>
          <w:color w:val="000009"/>
        </w:rPr>
      </w:r>
    </w:p>
    <w:p>
      <w:pPr>
        <w:pStyle w:val="Normal"/>
        <w:spacing w:before="0" w:after="120"/>
        <w:jc w:val="both"/>
        <w:rPr>
          <w:rFonts w:cs="Times New Roman"/>
          <w:i/>
          <w:i/>
          <w:iCs/>
          <w:color w:val="000009"/>
        </w:rPr>
      </w:pPr>
      <w:r>
        <w:rPr>
          <w:rFonts w:cs="Times New Roman"/>
          <w:i/>
          <w:iCs/>
          <w:color w:val="000009"/>
        </w:rPr>
        <w:t>Categorie particolari di dati personali e dati relativi a condanne penali o reati</w:t>
      </w:r>
    </w:p>
    <w:p>
      <w:pPr>
        <w:pStyle w:val="Normal"/>
        <w:spacing w:before="0" w:after="120"/>
        <w:jc w:val="both"/>
        <w:rPr>
          <w:rFonts w:cs="Times New Roman"/>
          <w:color w:val="000009"/>
        </w:rPr>
      </w:pPr>
      <w:r>
        <w:rPr>
          <w:rFonts w:cs="Times New Roman"/>
          <w:color w:val="000009"/>
        </w:rPr>
        <w:t>Di norma non vengono richieste “categorie particolari di dati personali” di cui all’art. 9 del Regolamento UE n. 2016/679. Il trattamento di eventuali categorie particolari di dati (ove eventualmente richiesti) è necessario per motivi di interesse pubblico rilevante sulla base del diritto dell'Unione o degli Stati membri (art. 9.2, lett. g) Reg. 679/2016). Tali dati saranno trattati esclusivamente per le finalità di cui all’Avviso e, per gli adempimenti connessi al relativo procedimento (ivi compresa la fase dei controlli sulle autocertificazioni) e per scopi istituzionali.</w:t>
      </w:r>
    </w:p>
    <w:p>
      <w:pPr>
        <w:pStyle w:val="Normal"/>
        <w:spacing w:before="0" w:after="120"/>
        <w:jc w:val="both"/>
        <w:rPr>
          <w:rFonts w:cs="Times New Roman"/>
          <w:color w:val="000009"/>
        </w:rPr>
      </w:pPr>
      <w:r>
        <w:rPr>
          <w:rFonts w:cs="Times New Roman"/>
          <w:color w:val="000009"/>
        </w:rPr>
        <w:t>Il trattamento di eventuali dati relativi alle condanne penali e ai reati o a connesse misure di sicurezza (ove eventualmente richiesti) è necessario per l’esecuzione di un compito di interesse pubblico o connesso all'esercizio di pubblici poteri di cui è investito il Titolare del trattamento ed avviene sulla base di quanto previsto dal diritto dell'Unione o dello Stato Italiano (Art. 10) ed, in particolare, sulla base delle disposizioni di legge in materia antimafia, nonché per valutare il possesso dei requisiti e delle qualità previsti dalla vigente normativa applicabile.</w:t>
      </w:r>
    </w:p>
    <w:p>
      <w:pPr>
        <w:pStyle w:val="Normal"/>
        <w:jc w:val="both"/>
        <w:rPr>
          <w:rFonts w:cs="Times New Roman"/>
          <w:color w:val="000009"/>
        </w:rPr>
      </w:pPr>
      <w:r>
        <w:rPr>
          <w:rFonts w:cs="Times New Roman"/>
          <w:color w:val="000009"/>
        </w:rPr>
      </w:r>
    </w:p>
    <w:p>
      <w:pPr>
        <w:pStyle w:val="Titolo3"/>
        <w:tabs>
          <w:tab w:val="clear" w:pos="720"/>
          <w:tab w:val="left" w:pos="334" w:leader="none"/>
        </w:tabs>
        <w:spacing w:before="0" w:after="120"/>
        <w:ind w:left="357" w:hanging="357"/>
        <w:jc w:val="both"/>
        <w:rPr>
          <w:rFonts w:ascii="Titillium Web" w:hAnsi="Titillium Web" w:cs="Times New Roman"/>
          <w:b/>
          <w:b/>
          <w:bCs/>
          <w:color w:val="auto"/>
        </w:rPr>
      </w:pPr>
      <w:bookmarkStart w:id="128" w:name="_Toc215218282"/>
      <w:r>
        <w:rPr>
          <w:rFonts w:cs="Times New Roman" w:ascii="Titillium Web" w:hAnsi="Titillium Web"/>
          <w:b/>
          <w:bCs/>
          <w:color w:val="auto"/>
          <w:sz w:val="22"/>
          <w:szCs w:val="22"/>
        </w:rPr>
        <w:t xml:space="preserve">6.5 </w:t>
      </w:r>
      <w:r>
        <w:rPr>
          <w:rFonts w:cs="Times New Roman" w:ascii="Titillium Web" w:hAnsi="Titillium Web"/>
          <w:b/>
          <w:bCs/>
          <w:color w:val="auto"/>
        </w:rPr>
        <w:t>Natura del conferimento. Obbligo di fornire i dati personali e possibili conseguenze di un mancato conferimento.</w:t>
      </w:r>
      <w:bookmarkEnd w:id="128"/>
    </w:p>
    <w:p>
      <w:pPr>
        <w:pStyle w:val="Normal"/>
        <w:spacing w:before="0" w:after="120"/>
        <w:jc w:val="both"/>
        <w:rPr>
          <w:rFonts w:cs="Times New Roman"/>
          <w:color w:val="000009"/>
        </w:rPr>
      </w:pPr>
      <w:r>
        <w:rPr>
          <w:rFonts w:cs="Times New Roman"/>
          <w:color w:val="000009"/>
        </w:rPr>
        <w:t>I proponenti beneficiari sono tenuti a fornire i dati in ragione degli obblighi legali derivanti dalla normativa in materia di appalti e contrattualistica pubblica. Ad eccezione dei casi in cui il conferimento risulti obbligatorio per legge, non vi è l’obbligo di fornire i dati stessi. Tuttavia, il mancato conferimento di (tutti o parte) dei dati può comportare l’irricevibilità o inammissibilità della domanda ovvero le altre conseguenze previste dalle disposizioni di legge applicabile, tra cui a seconda dei casi, l’impossibilità di ammettere il proponente beneficiario alla partecipazione alla procedura o la sua esclusione da questa o revoca o decadenza dalla concessione del contributo.</w:t>
      </w:r>
    </w:p>
    <w:p>
      <w:pPr>
        <w:pStyle w:val="Normal"/>
        <w:jc w:val="both"/>
        <w:rPr>
          <w:rFonts w:cs="Times New Roman"/>
          <w:color w:val="000009"/>
        </w:rPr>
      </w:pPr>
      <w:r>
        <w:rPr>
          <w:rFonts w:cs="Times New Roman"/>
          <w:color w:val="000009"/>
        </w:rPr>
      </w:r>
    </w:p>
    <w:p>
      <w:pPr>
        <w:pStyle w:val="Titolo3"/>
        <w:tabs>
          <w:tab w:val="clear" w:pos="720"/>
          <w:tab w:val="left" w:pos="334" w:leader="none"/>
        </w:tabs>
        <w:spacing w:before="0" w:after="120"/>
        <w:ind w:left="357" w:hanging="357"/>
        <w:jc w:val="both"/>
        <w:rPr>
          <w:rFonts w:ascii="Titillium Web" w:hAnsi="Titillium Web" w:cs="Times New Roman"/>
          <w:b/>
          <w:b/>
          <w:bCs/>
          <w:color w:val="auto"/>
          <w:sz w:val="22"/>
          <w:szCs w:val="22"/>
        </w:rPr>
      </w:pPr>
      <w:bookmarkStart w:id="129" w:name="_Toc215218283"/>
      <w:r>
        <w:rPr>
          <w:rFonts w:cs="Times New Roman" w:ascii="Titillium Web" w:hAnsi="Titillium Web"/>
          <w:b/>
          <w:bCs/>
          <w:color w:val="auto"/>
          <w:sz w:val="22"/>
          <w:szCs w:val="22"/>
        </w:rPr>
        <w:t xml:space="preserve">6.6 </w:t>
      </w:r>
      <w:r>
        <w:rPr>
          <w:rFonts w:cs="Times New Roman" w:ascii="Titillium Web" w:hAnsi="Titillium Web"/>
          <w:b/>
          <w:bCs/>
          <w:color w:val="auto"/>
        </w:rPr>
        <w:t>Eventuali destinatari o eventuali categorie di destinatari dei dati personali</w:t>
      </w:r>
      <w:bookmarkEnd w:id="129"/>
    </w:p>
    <w:p>
      <w:pPr>
        <w:pStyle w:val="Normal"/>
        <w:spacing w:before="0" w:after="120"/>
        <w:jc w:val="both"/>
        <w:rPr>
          <w:rFonts w:cs="Times New Roman"/>
          <w:color w:val="000009"/>
        </w:rPr>
      </w:pPr>
      <w:r>
        <w:rPr>
          <w:rFonts w:cs="Times New Roman"/>
          <w:color w:val="000009"/>
        </w:rPr>
        <w:t xml:space="preserve">La comunicazione dei dati ad altri titolari del trattamento ai fini dell’esecuzione di un compito di interesse pubblico o connesso all'esercizio di pubblici poteri potrà avvenire laddove previsto da una norma di legge o, nei casi previsti dalla legge, di regolamento e comunque in conformità a quanto previsto nel D. Lgs. 196/2003 e s.m.i. I dati potranno essere comunicati agli enti preposti alla verifica delle dichiarazioni rese dai proponenti beneficiari ai sensi del D.P.R. n. 445/2000 e a ogni soggetto che abbia interesse ai sensi della Legge n. 241/90 e ss. mm. Qualora il Titolare dovesse affidare le operazioni di trattamento a terzi, questi ultimi saranno all’uopo nominati responsabili del trattamento ai sensi dell’articolo 28 del Regolamento UE n. 2016/679, previa verifica della conformità dell’attività degli stessi alle disposizioni in materia di protezione dei dati personali. I dati potranno essere portati a conoscenza di persone autorizzate al trattamento degli stessi dal Titolare, quali i dipendenti regionali all’uopo autorizzati. I dati non saranno diffusi, eccetto i dati anagrafici del richiedente e le informazioni circa gli esiti delle fasi di ammissibilità e valutazione che saranno diffusi in conformità alle previsioni di legge ed, in particolare, secondo le norme in materia di pubblicità degli atti amministrativi e sul sito internet dell’Amministrazione comunale, al fine di divulgare gli esiti finali delle procedure amministrative. Nell’ambito delle misure antifrode di cui all’art. 125, paragrafo 4, lett. c) Reg. UE n. 1303/2013, i dati potranno essere comunicati alla Commissione Europea – in qualità di autonomo titolare – e potranno essere oggetto di trattamento, unitamente ai dati acquisiti da banche dati esterne utili per individuare gli indicatori di rischio ed attraverso l’utilizzo di appositi sistemi messi a disposizione dalla stessa Commissione Europea (Arachne), per le verifiche di gestione ed, in particolare, ai fini della valutazione del rischio di frode sui progetti, sui </w:t>
      </w:r>
      <w:r>
        <w:rPr>
          <w:rFonts w:cs="Times New Roman"/>
          <w:color w:val="auto"/>
        </w:rPr>
        <w:t>contratti, sui contraenti e sui beneficiari. Maggiori informazioni in relazione al trattamento dei dati effettuato attraverso i sistemi della Commissione Europea (Arachne) sono</w:t>
        <w:tab/>
        <w:t xml:space="preserve">disponibili sul sito: </w:t>
      </w:r>
      <w:hyperlink r:id="rId5">
        <w:r>
          <w:rPr>
            <w:rFonts w:cs="Times New Roman"/>
            <w:color w:val="auto"/>
            <w:spacing w:val="-2"/>
          </w:rPr>
          <w:t>http://ec.europa.eu/social/main.jsp?catId=325&amp;intPageId=3587&amp;langId.it</w:t>
        </w:r>
      </w:hyperlink>
    </w:p>
    <w:p>
      <w:pPr>
        <w:pStyle w:val="Normal"/>
        <w:jc w:val="both"/>
        <w:rPr>
          <w:rFonts w:cs="Times New Roman"/>
          <w:color w:val="000009"/>
        </w:rPr>
      </w:pPr>
      <w:r>
        <w:rPr>
          <w:rFonts w:cs="Times New Roman"/>
          <w:color w:val="000009"/>
        </w:rPr>
      </w:r>
    </w:p>
    <w:p>
      <w:pPr>
        <w:pStyle w:val="Titolo3"/>
        <w:tabs>
          <w:tab w:val="clear" w:pos="720"/>
          <w:tab w:val="left" w:pos="334" w:leader="none"/>
        </w:tabs>
        <w:spacing w:before="0" w:after="0"/>
        <w:ind w:left="357" w:hanging="357"/>
        <w:jc w:val="both"/>
        <w:rPr>
          <w:rFonts w:ascii="Titillium Web" w:hAnsi="Titillium Web" w:cs="Times New Roman"/>
          <w:b/>
          <w:b/>
          <w:bCs/>
          <w:color w:val="auto"/>
        </w:rPr>
      </w:pPr>
      <w:bookmarkStart w:id="130" w:name="_Toc215218284"/>
      <w:bookmarkStart w:id="131" w:name="_Toc214529887"/>
      <w:r>
        <w:rPr>
          <w:rFonts w:cs="Times New Roman" w:ascii="Titillium Web" w:hAnsi="Titillium Web"/>
          <w:b/>
          <w:bCs/>
          <w:color w:val="auto"/>
          <w:sz w:val="22"/>
          <w:szCs w:val="22"/>
        </w:rPr>
        <w:t xml:space="preserve">6.7 </w:t>
      </w:r>
      <w:r>
        <w:rPr>
          <w:rFonts w:cs="Times New Roman" w:ascii="Titillium Web" w:hAnsi="Titillium Web"/>
          <w:b/>
          <w:bCs/>
          <w:color w:val="auto"/>
        </w:rPr>
        <w:t>Periodo di conservazione dei dati</w:t>
      </w:r>
      <w:bookmarkEnd w:id="130"/>
      <w:bookmarkEnd w:id="131"/>
    </w:p>
    <w:p>
      <w:pPr>
        <w:pStyle w:val="Normal"/>
        <w:spacing w:before="0" w:after="120"/>
        <w:jc w:val="both"/>
        <w:rPr>
          <w:rFonts w:cs="Times New Roman"/>
          <w:color w:val="auto"/>
        </w:rPr>
      </w:pPr>
      <w:r>
        <w:rPr>
          <w:rFonts w:cs="Times New Roman"/>
          <w:color w:val="000009"/>
        </w:rPr>
        <w:t xml:space="preserve">Nel rispetto dei principi di liceità, di minimizzazione dei dati e delle finalità sopra indicate, il periodo di conservazione dei dati sarà pari al tempo necessario per lo svolgimento della conclusione della procedura di cui al presente Avviso e delle successive attività istruttorie e di verifica sopra dettagliate, e, comunque, per il tempo necessario per il conseguimento delle specifiche finalità per le quali sono raccolti e trattati. La documentazione è conservata per almeno dieci anni nel caso di applicazione delle norme in materia di aiuti di stato, ovvero cinque anni a partire dal provvedimento di concessione del contributo e approvazione della graduatoria definitiva, ovvero, in caso di pendenza di una controversia, fino al passaggio in giudicato della relativa sentenza. Inoltre, i dati potranno essere conservati, anche in </w:t>
      </w:r>
      <w:r>
        <w:rPr>
          <w:rFonts w:cs="Times New Roman"/>
          <w:color w:val="auto"/>
        </w:rPr>
        <w:t xml:space="preserve">forma anonima e aggregata, per fini di studio o statistici. </w:t>
      </w:r>
    </w:p>
    <w:p>
      <w:pPr>
        <w:pStyle w:val="Normal"/>
        <w:ind w:left="-113" w:hanging="0"/>
        <w:jc w:val="both"/>
        <w:rPr>
          <w:rFonts w:cs="Times New Roman"/>
          <w:color w:val="auto"/>
        </w:rPr>
      </w:pPr>
      <w:r>
        <w:rPr>
          <w:rFonts w:cs="Times New Roman"/>
          <w:color w:val="auto"/>
        </w:rPr>
      </w:r>
    </w:p>
    <w:p>
      <w:pPr>
        <w:pStyle w:val="ListParagraph"/>
        <w:widowControl/>
        <w:numPr>
          <w:ilvl w:val="1"/>
          <w:numId w:val="56"/>
        </w:numPr>
        <w:spacing w:lineRule="auto" w:line="259" w:before="0" w:after="120"/>
        <w:ind w:left="357" w:hanging="357"/>
        <w:contextualSpacing w:val="false"/>
        <w:jc w:val="both"/>
        <w:rPr>
          <w:rFonts w:ascii="Titillium Web" w:hAnsi="Titillium Web" w:eastAsia="" w:cs="Times New Roman" w:eastAsiaTheme="majorEastAsia"/>
          <w:b/>
          <w:b/>
          <w:bCs/>
          <w:color w:val="auto"/>
          <w:sz w:val="24"/>
          <w:szCs w:val="24"/>
        </w:rPr>
      </w:pPr>
      <w:r>
        <w:rPr>
          <w:rFonts w:eastAsia="" w:cs="Times New Roman" w:ascii="Titillium Web" w:hAnsi="Titillium Web" w:eastAsiaTheme="majorEastAsia"/>
          <w:b/>
          <w:bCs/>
          <w:color w:val="auto"/>
          <w:sz w:val="24"/>
          <w:szCs w:val="24"/>
        </w:rPr>
        <w:t>Trasferimento dei dati personali</w:t>
      </w:r>
    </w:p>
    <w:p>
      <w:pPr>
        <w:pStyle w:val="Normal"/>
        <w:spacing w:before="0" w:after="120"/>
        <w:jc w:val="both"/>
        <w:rPr>
          <w:rFonts w:cs="Times New Roman"/>
          <w:color w:val="auto"/>
        </w:rPr>
      </w:pPr>
      <w:r>
        <w:rPr>
          <w:rFonts w:cs="Times New Roman"/>
          <w:color w:val="auto"/>
        </w:rPr>
        <w:t>I dati non saranno trasferiti in Stati membri dell’Unione Europea e/o in Paesi terzi non appartenenti all’Unione Europea.</w:t>
      </w:r>
    </w:p>
    <w:p>
      <w:pPr>
        <w:pStyle w:val="Normal"/>
        <w:jc w:val="both"/>
        <w:rPr>
          <w:rFonts w:cs="Times New Roman"/>
          <w:color w:val="auto"/>
        </w:rPr>
      </w:pPr>
      <w:r>
        <w:rPr>
          <w:rFonts w:cs="Times New Roman"/>
          <w:color w:val="auto"/>
        </w:rPr>
      </w:r>
    </w:p>
    <w:p>
      <w:pPr>
        <w:pStyle w:val="ListParagraph"/>
        <w:widowControl/>
        <w:numPr>
          <w:ilvl w:val="1"/>
          <w:numId w:val="56"/>
        </w:numPr>
        <w:spacing w:lineRule="auto" w:line="259" w:before="0" w:after="120"/>
        <w:ind w:left="357" w:hanging="357"/>
        <w:contextualSpacing w:val="false"/>
        <w:jc w:val="both"/>
        <w:rPr>
          <w:rFonts w:ascii="Titillium Web" w:hAnsi="Titillium Web" w:eastAsia="" w:cs="Times New Roman" w:eastAsiaTheme="majorEastAsia"/>
          <w:b/>
          <w:b/>
          <w:bCs/>
          <w:color w:val="auto"/>
          <w:sz w:val="24"/>
          <w:szCs w:val="24"/>
        </w:rPr>
      </w:pPr>
      <w:r>
        <w:rPr>
          <w:rFonts w:eastAsia="" w:cs="Times New Roman" w:ascii="Titillium Web" w:hAnsi="Titillium Web" w:eastAsiaTheme="majorEastAsia"/>
          <w:b/>
          <w:bCs/>
          <w:color w:val="auto"/>
          <w:sz w:val="24"/>
          <w:szCs w:val="24"/>
        </w:rPr>
        <w:t>Esistenza di un processo decisionale automatizzato, compresa la profilazione</w:t>
      </w:r>
    </w:p>
    <w:p>
      <w:pPr>
        <w:pStyle w:val="Normal"/>
        <w:spacing w:before="0" w:after="120"/>
        <w:jc w:val="both"/>
        <w:rPr>
          <w:rFonts w:cs="Times New Roman"/>
          <w:color w:val="auto"/>
        </w:rPr>
      </w:pPr>
      <w:r>
        <w:rPr>
          <w:rFonts w:cs="Times New Roman"/>
          <w:color w:val="auto"/>
        </w:rPr>
        <w:t>L’Autorità Digitale non adotta alcun processo decisionale automatizzato, compresa la profilazione, di cui all’articolo 22, paragrafi 1 e 4, del Regolamento UE n. 679/2016.</w:t>
      </w:r>
    </w:p>
    <w:p>
      <w:pPr>
        <w:pStyle w:val="Normal"/>
        <w:jc w:val="both"/>
        <w:rPr>
          <w:rFonts w:cs="Times New Roman"/>
          <w:color w:val="000009"/>
        </w:rPr>
      </w:pPr>
      <w:r>
        <w:rPr>
          <w:rFonts w:cs="Times New Roman"/>
          <w:color w:val="000009"/>
        </w:rPr>
      </w:r>
    </w:p>
    <w:p>
      <w:pPr>
        <w:pStyle w:val="Titolo1"/>
        <w:tabs>
          <w:tab w:val="clear" w:pos="720"/>
          <w:tab w:val="left" w:pos="619" w:leader="none"/>
        </w:tabs>
        <w:spacing w:before="0" w:after="120"/>
        <w:ind w:left="357" w:hanging="357"/>
        <w:jc w:val="both"/>
        <w:rPr>
          <w:rFonts w:ascii="Titillium Web" w:hAnsi="Titillium Web" w:cs="Times New Roman"/>
          <w:b/>
          <w:b/>
          <w:bCs/>
          <w:color w:val="auto"/>
          <w:sz w:val="28"/>
          <w:szCs w:val="28"/>
        </w:rPr>
      </w:pPr>
      <w:bookmarkStart w:id="132" w:name="_Toc215218285"/>
      <w:bookmarkStart w:id="133" w:name="_Toc214529888"/>
      <w:r>
        <w:rPr>
          <w:rFonts w:cs="Times New Roman" w:ascii="Titillium Web" w:hAnsi="Titillium Web"/>
          <w:b/>
          <w:bCs/>
          <w:color w:val="auto"/>
          <w:sz w:val="28"/>
          <w:szCs w:val="28"/>
        </w:rPr>
        <w:t>7. Diritti dell’interessato</w:t>
      </w:r>
      <w:bookmarkEnd w:id="132"/>
      <w:bookmarkEnd w:id="133"/>
    </w:p>
    <w:p>
      <w:pPr>
        <w:pStyle w:val="Normal"/>
        <w:spacing w:before="0" w:after="120"/>
        <w:jc w:val="both"/>
        <w:rPr>
          <w:rFonts w:cs="Times New Roman"/>
          <w:color w:val="000009"/>
        </w:rPr>
      </w:pPr>
      <w:r>
        <w:rPr>
          <w:rFonts w:cs="Times New Roman"/>
          <w:color w:val="000009"/>
        </w:rPr>
        <w:t>In ogni momento, l’interessato potrà esercitare, ai sensi degli articoli15 e ss. del Regolamento UE n. 2016/679, ivi incluso il diritto di:</w:t>
      </w:r>
    </w:p>
    <w:p>
      <w:pPr>
        <w:pStyle w:val="ListParagraph"/>
        <w:widowControl/>
        <w:numPr>
          <w:ilvl w:val="0"/>
          <w:numId w:val="47"/>
        </w:numPr>
        <w:spacing w:before="0" w:after="120"/>
        <w:ind w:left="357" w:hanging="357"/>
        <w:contextualSpacing w:val="false"/>
        <w:jc w:val="both"/>
        <w:rPr>
          <w:rFonts w:cs="Times New Roman"/>
          <w:color w:val="000009"/>
        </w:rPr>
      </w:pPr>
      <w:r>
        <w:rPr>
          <w:rFonts w:cs="Times New Roman"/>
          <w:color w:val="000009"/>
        </w:rPr>
        <w:t>chiedere la conferma dell’esistenza o meno di propri dati personali;</w:t>
      </w:r>
    </w:p>
    <w:p>
      <w:pPr>
        <w:pStyle w:val="ListParagraph"/>
        <w:widowControl/>
        <w:numPr>
          <w:ilvl w:val="0"/>
          <w:numId w:val="47"/>
        </w:numPr>
        <w:spacing w:before="0" w:after="120"/>
        <w:ind w:left="357" w:hanging="357"/>
        <w:contextualSpacing w:val="false"/>
        <w:jc w:val="both"/>
        <w:rPr>
          <w:rFonts w:cs="Times New Roman"/>
          <w:color w:val="000009"/>
        </w:rPr>
      </w:pPr>
      <w:r>
        <w:rPr>
          <w:rFonts w:cs="Times New Roman"/>
          <w:color w:val="000009"/>
        </w:rPr>
        <w:t>ottenere le indicazioni circa le finalità del trattamento, le categorie dei dati personali, i destinatari o le categorie di destinatari a cui i dati personali sono stati o saranno comunicati e, quando possibile, il periodo di conservazione;</w:t>
      </w:r>
    </w:p>
    <w:p>
      <w:pPr>
        <w:pStyle w:val="ListParagraph"/>
        <w:widowControl/>
        <w:numPr>
          <w:ilvl w:val="0"/>
          <w:numId w:val="47"/>
        </w:numPr>
        <w:spacing w:before="0" w:after="120"/>
        <w:ind w:left="357" w:hanging="357"/>
        <w:contextualSpacing w:val="false"/>
        <w:jc w:val="both"/>
        <w:rPr>
          <w:rFonts w:cs="Times New Roman"/>
          <w:color w:val="000009"/>
        </w:rPr>
      </w:pPr>
      <w:r>
        <w:rPr>
          <w:rFonts w:cs="Times New Roman"/>
          <w:color w:val="000009"/>
        </w:rPr>
        <w:t>ottenere la rettifica e la cancellazione dei dati;</w:t>
      </w:r>
    </w:p>
    <w:p>
      <w:pPr>
        <w:pStyle w:val="ListParagraph"/>
        <w:widowControl/>
        <w:numPr>
          <w:ilvl w:val="0"/>
          <w:numId w:val="47"/>
        </w:numPr>
        <w:spacing w:before="0" w:after="120"/>
        <w:ind w:left="357" w:hanging="357"/>
        <w:contextualSpacing w:val="false"/>
        <w:jc w:val="both"/>
        <w:rPr>
          <w:rFonts w:cs="Times New Roman"/>
          <w:color w:val="000009"/>
        </w:rPr>
      </w:pPr>
      <w:r>
        <w:rPr>
          <w:rFonts w:cs="Times New Roman"/>
          <w:color w:val="000009"/>
        </w:rPr>
        <w:t>ottenere la limitazione del trattamento;</w:t>
      </w:r>
    </w:p>
    <w:p>
      <w:pPr>
        <w:pStyle w:val="ListParagraph"/>
        <w:widowControl/>
        <w:numPr>
          <w:ilvl w:val="0"/>
          <w:numId w:val="47"/>
        </w:numPr>
        <w:spacing w:before="0" w:after="120"/>
        <w:ind w:left="357" w:hanging="357"/>
        <w:contextualSpacing w:val="false"/>
        <w:jc w:val="both"/>
        <w:rPr>
          <w:rFonts w:cs="Times New Roman"/>
          <w:color w:val="000009"/>
        </w:rPr>
      </w:pPr>
      <w:r>
        <w:rPr>
          <w:rFonts w:cs="Times New Roman"/>
          <w:color w:val="000009"/>
        </w:rPr>
        <w:t>ottenere la portabilità dei dati, ossia riceverli da un titolare del trattamento, in un formato strutturato, di uso comune e leggibile da dispositivo automatico, e trasmetterli ad un altro titolare del trattamento senza impedimenti;</w:t>
      </w:r>
    </w:p>
    <w:p>
      <w:pPr>
        <w:pStyle w:val="ListParagraph"/>
        <w:widowControl/>
        <w:numPr>
          <w:ilvl w:val="0"/>
          <w:numId w:val="47"/>
        </w:numPr>
        <w:spacing w:before="0" w:after="120"/>
        <w:ind w:left="357" w:hanging="357"/>
        <w:contextualSpacing w:val="false"/>
        <w:jc w:val="both"/>
        <w:rPr>
          <w:rFonts w:cs="Times New Roman"/>
          <w:color w:val="000009"/>
        </w:rPr>
      </w:pPr>
      <w:r>
        <w:rPr>
          <w:rFonts w:cs="Times New Roman"/>
          <w:color w:val="000009"/>
        </w:rPr>
        <w:t>opporsi al trattamento in qualsiasi momento ed anche nel caso di trattamento per finalità di marketing diretto;</w:t>
      </w:r>
    </w:p>
    <w:p>
      <w:pPr>
        <w:pStyle w:val="ListParagraph"/>
        <w:widowControl/>
        <w:numPr>
          <w:ilvl w:val="0"/>
          <w:numId w:val="47"/>
        </w:numPr>
        <w:spacing w:before="0" w:after="120"/>
        <w:ind w:left="357" w:hanging="357"/>
        <w:contextualSpacing w:val="false"/>
        <w:jc w:val="both"/>
        <w:rPr>
          <w:rFonts w:cs="Times New Roman"/>
          <w:color w:val="000009"/>
        </w:rPr>
      </w:pPr>
      <w:r>
        <w:rPr>
          <w:rFonts w:cs="Times New Roman"/>
          <w:color w:val="000009"/>
        </w:rPr>
        <w:t>opporsi ad un processo decisionale automatizzato relativo alle persone fisiche, compresa la profilazione;</w:t>
      </w:r>
    </w:p>
    <w:p>
      <w:pPr>
        <w:pStyle w:val="ListParagraph"/>
        <w:widowControl/>
        <w:numPr>
          <w:ilvl w:val="0"/>
          <w:numId w:val="47"/>
        </w:numPr>
        <w:spacing w:before="0" w:after="120"/>
        <w:ind w:left="357" w:hanging="357"/>
        <w:contextualSpacing w:val="false"/>
        <w:jc w:val="both"/>
        <w:rPr>
          <w:rFonts w:cs="Times New Roman"/>
          <w:color w:val="000009"/>
        </w:rPr>
      </w:pPr>
      <w:r>
        <w:rPr>
          <w:rFonts w:cs="Times New Roman"/>
          <w:color w:val="000009"/>
        </w:rPr>
        <w:t>chiedere al Titolare del trattamento l’accesso ai dati personali e la rettifica o la cancellazione degli stessi;</w:t>
      </w:r>
    </w:p>
    <w:p>
      <w:pPr>
        <w:pStyle w:val="ListParagraph"/>
        <w:widowControl/>
        <w:numPr>
          <w:ilvl w:val="0"/>
          <w:numId w:val="47"/>
        </w:numPr>
        <w:spacing w:before="0" w:after="120"/>
        <w:ind w:left="357" w:hanging="357"/>
        <w:contextualSpacing w:val="false"/>
        <w:jc w:val="both"/>
        <w:rPr>
          <w:rFonts w:cs="Times New Roman"/>
          <w:color w:val="000009"/>
        </w:rPr>
      </w:pPr>
      <w:r>
        <w:rPr>
          <w:rFonts w:cs="Times New Roman"/>
          <w:color w:val="000009"/>
        </w:rPr>
        <w:t>revocare il consenso (ove applicabile) in qualsiasi momento senza pregiudicare la liceità del trattamento basata sul consenso prestato prima della revoca;</w:t>
      </w:r>
    </w:p>
    <w:p>
      <w:pPr>
        <w:pStyle w:val="ListParagraph"/>
        <w:widowControl/>
        <w:numPr>
          <w:ilvl w:val="0"/>
          <w:numId w:val="47"/>
        </w:numPr>
        <w:spacing w:before="0" w:after="120"/>
        <w:ind w:left="357" w:hanging="357"/>
        <w:contextualSpacing w:val="false"/>
        <w:jc w:val="both"/>
        <w:rPr>
          <w:rFonts w:cs="Times New Roman"/>
          <w:color w:val="auto"/>
        </w:rPr>
      </w:pPr>
      <w:r>
        <w:rPr>
          <w:rFonts w:cs="Times New Roman"/>
          <w:color w:val="auto"/>
        </w:rPr>
        <w:t>proporre reclamo al Garante per la protezione dei dati personali ovvero ad altra a un’autorità di controllo eventualmente competente.</w:t>
      </w:r>
    </w:p>
    <w:p>
      <w:pPr>
        <w:pStyle w:val="Normal"/>
        <w:spacing w:before="0" w:after="120"/>
        <w:jc w:val="both"/>
        <w:rPr>
          <w:rFonts w:cs="Times New Roman"/>
          <w:color w:val="auto"/>
        </w:rPr>
      </w:pPr>
      <w:r>
        <w:rPr>
          <w:rFonts w:cs="Times New Roman"/>
          <w:color w:val="auto"/>
        </w:rPr>
        <w:t xml:space="preserve">Per informazioni e/o per esercitare i diritti di cui alla normativa che precede potrà essere inoltrata richiesta scritta </w:t>
      </w:r>
      <w:r>
        <w:rPr>
          <w:color w:val="auto"/>
        </w:rPr>
        <w:t>Comune di Reggio Calabria, U.P.I. Economia Urbana, Occupazione, Gestione procedimenti di gara e negoziali.</w:t>
      </w:r>
      <w:r>
        <w:rPr>
          <w:rFonts w:cs="Times New Roman"/>
          <w:color w:val="auto"/>
        </w:rPr>
        <w:t xml:space="preserve"> </w:t>
      </w:r>
    </w:p>
    <w:p>
      <w:pPr>
        <w:pStyle w:val="Normal"/>
        <w:jc w:val="both"/>
        <w:rPr>
          <w:rFonts w:cs="Times New Roman"/>
          <w:color w:val="auto"/>
        </w:rPr>
      </w:pPr>
      <w:r>
        <w:rPr>
          <w:rFonts w:cs="Times New Roman"/>
          <w:color w:val="auto"/>
        </w:rPr>
      </w:r>
    </w:p>
    <w:p>
      <w:pPr>
        <w:pStyle w:val="Normal"/>
        <w:spacing w:before="0" w:after="120"/>
        <w:jc w:val="both"/>
        <w:rPr>
          <w:rFonts w:ascii="Titillium Web" w:hAnsi="Titillium Web" w:eastAsia="" w:cs="Times New Roman" w:eastAsiaTheme="majorEastAsia"/>
          <w:b/>
          <w:b/>
          <w:bCs/>
          <w:color w:val="auto"/>
        </w:rPr>
      </w:pPr>
      <w:r>
        <w:rPr>
          <w:rFonts w:eastAsia="" w:cs="Times New Roman" w:ascii="Titillium Web" w:hAnsi="Titillium Web" w:eastAsiaTheme="majorEastAsia"/>
          <w:b/>
          <w:bCs/>
          <w:color w:val="auto"/>
        </w:rPr>
        <w:t xml:space="preserve">7.1 </w:t>
      </w:r>
      <w:r>
        <w:rPr>
          <w:rFonts w:eastAsia="" w:cs="Times New Roman" w:ascii="Titillium Web" w:hAnsi="Titillium Web" w:eastAsiaTheme="majorEastAsia"/>
          <w:b/>
          <w:bCs/>
          <w:color w:val="auto"/>
          <w:sz w:val="24"/>
          <w:szCs w:val="24"/>
        </w:rPr>
        <w:t>Responsabile del procedimento</w:t>
      </w:r>
    </w:p>
    <w:p>
      <w:pPr>
        <w:pStyle w:val="ListParagraph"/>
        <w:widowControl/>
        <w:numPr>
          <w:ilvl w:val="0"/>
          <w:numId w:val="48"/>
        </w:numPr>
        <w:spacing w:lineRule="auto" w:line="259" w:before="0" w:after="120"/>
        <w:ind w:left="357" w:hanging="357"/>
        <w:contextualSpacing w:val="false"/>
        <w:jc w:val="both"/>
        <w:rPr>
          <w:rFonts w:cs="Times New Roman"/>
          <w:color w:val="auto"/>
        </w:rPr>
      </w:pPr>
      <w:r>
        <w:rPr>
          <w:rFonts w:cs="Times New Roman"/>
          <w:color w:val="auto"/>
        </w:rPr>
        <w:t xml:space="preserve">Il responsabile del procedimento, ai sensi della Legge n. 241/90, è il dott. Tommaso Cotronei, funzionario del Settore </w:t>
      </w:r>
      <w:r>
        <w:rPr>
          <w:color w:val="auto"/>
        </w:rPr>
        <w:t>U.P.I. Economia Urbana, Occupazione, Gestione procedimenti di gara e negoziali.</w:t>
      </w:r>
      <w:r>
        <w:rPr>
          <w:rFonts w:cs="Times New Roman"/>
          <w:color w:val="auto"/>
        </w:rPr>
        <w:t xml:space="preserve"> Il diritto di accesso agli atti e documenti del procedimento oggetto del presente Avviso può essere esercitato, mediante </w:t>
      </w:r>
      <w:r>
        <w:rPr>
          <w:color w:val="auto"/>
        </w:rPr>
        <w:t>richiesta scritta motivata al responsabile del procedimento anche attraverso l’indirizzo di posta elettronica: </w:t>
      </w:r>
      <w:hyperlink r:id="rId6" w:tgtFrame="mailto:t.cotronei@reggiocal.it">
        <w:r>
          <w:rPr>
            <w:rStyle w:val="CollegamentoInternet"/>
            <w:color w:val="auto"/>
            <w:u w:val="none"/>
          </w:rPr>
          <w:t>t.cotronei@reggiocal.it</w:t>
        </w:r>
      </w:hyperlink>
      <w:r>
        <w:rPr>
          <w:rFonts w:cs="Times New Roman"/>
          <w:color w:val="auto"/>
        </w:rPr>
        <w:t>.</w:t>
      </w:r>
    </w:p>
    <w:p>
      <w:pPr>
        <w:pStyle w:val="Normal"/>
        <w:jc w:val="both"/>
        <w:rPr>
          <w:rFonts w:cs="Times New Roman"/>
          <w:color w:val="auto"/>
        </w:rPr>
      </w:pPr>
      <w:r>
        <w:rPr>
          <w:rFonts w:cs="Times New Roman"/>
          <w:color w:val="auto"/>
        </w:rPr>
      </w:r>
    </w:p>
    <w:p>
      <w:pPr>
        <w:pStyle w:val="Normal"/>
        <w:spacing w:before="0" w:after="120"/>
        <w:ind w:left="357" w:hanging="357"/>
        <w:jc w:val="both"/>
        <w:rPr>
          <w:rFonts w:ascii="Titillium Web" w:hAnsi="Titillium Web" w:eastAsia="" w:cs="Times New Roman" w:eastAsiaTheme="majorEastAsia"/>
          <w:b/>
          <w:b/>
          <w:bCs/>
          <w:color w:val="auto"/>
        </w:rPr>
      </w:pPr>
      <w:r>
        <w:rPr>
          <w:rFonts w:eastAsia="" w:cs="Times New Roman" w:ascii="Titillium Web" w:hAnsi="Titillium Web" w:eastAsiaTheme="majorEastAsia"/>
          <w:b/>
          <w:bCs/>
          <w:color w:val="auto"/>
        </w:rPr>
        <w:t xml:space="preserve">7.2 </w:t>
      </w:r>
      <w:r>
        <w:rPr>
          <w:rFonts w:eastAsia="" w:cs="Times New Roman" w:ascii="Titillium Web" w:hAnsi="Titillium Web" w:eastAsiaTheme="majorEastAsia"/>
          <w:b/>
          <w:bCs/>
          <w:color w:val="auto"/>
          <w:sz w:val="24"/>
          <w:szCs w:val="24"/>
        </w:rPr>
        <w:t>Forme di tutela giurisdizionale</w:t>
      </w:r>
    </w:p>
    <w:p>
      <w:pPr>
        <w:pStyle w:val="Normal"/>
        <w:spacing w:before="0" w:after="120"/>
        <w:jc w:val="both"/>
        <w:rPr>
          <w:rFonts w:cs="Times New Roman"/>
          <w:color w:val="auto"/>
        </w:rPr>
      </w:pPr>
      <w:r>
        <w:rPr>
          <w:rFonts w:cs="Times New Roman"/>
          <w:color w:val="auto"/>
        </w:rPr>
        <w:t>Avverso l’avviso e i provvedimenti attuativi, relativi al procedimento di concessione del contributo, i soggetti interessati potranno presentare ricorso giurisdizionale nei modi e termini di legge.</w:t>
      </w:r>
    </w:p>
    <w:p>
      <w:pPr>
        <w:pStyle w:val="Normal"/>
        <w:jc w:val="both"/>
        <w:rPr>
          <w:rFonts w:cs="Times New Roman"/>
          <w:color w:val="auto"/>
        </w:rPr>
      </w:pPr>
      <w:r>
        <w:rPr>
          <w:rFonts w:cs="Times New Roman"/>
          <w:color w:val="auto"/>
        </w:rPr>
      </w:r>
    </w:p>
    <w:p>
      <w:pPr>
        <w:pStyle w:val="Normal"/>
        <w:spacing w:before="0" w:after="120"/>
        <w:jc w:val="both"/>
        <w:rPr>
          <w:rFonts w:ascii="Titillium Web" w:hAnsi="Titillium Web" w:eastAsia="" w:cs="Times New Roman" w:eastAsiaTheme="majorEastAsia"/>
          <w:b/>
          <w:b/>
          <w:bCs/>
          <w:color w:val="auto"/>
          <w:sz w:val="24"/>
          <w:szCs w:val="24"/>
        </w:rPr>
      </w:pPr>
      <w:r>
        <w:rPr>
          <w:rFonts w:eastAsia="" w:cs="Times New Roman" w:ascii="Titillium Web" w:hAnsi="Titillium Web" w:eastAsiaTheme="majorEastAsia"/>
          <w:b/>
          <w:bCs/>
          <w:color w:val="auto"/>
        </w:rPr>
        <w:t xml:space="preserve">7.3 </w:t>
      </w:r>
      <w:r>
        <w:rPr>
          <w:rFonts w:eastAsia="" w:cs="Times New Roman" w:ascii="Titillium Web" w:hAnsi="Titillium Web" w:eastAsiaTheme="majorEastAsia"/>
          <w:b/>
          <w:bCs/>
          <w:color w:val="auto"/>
          <w:sz w:val="24"/>
          <w:szCs w:val="24"/>
        </w:rPr>
        <w:t>Informazioni e contatti</w:t>
      </w:r>
    </w:p>
    <w:p>
      <w:pPr>
        <w:pStyle w:val="Normal"/>
        <w:spacing w:before="0" w:after="120"/>
        <w:ind w:left="357" w:hanging="357"/>
        <w:jc w:val="both"/>
        <w:rPr>
          <w:rFonts w:cs="Times New Roman"/>
          <w:color w:val="auto"/>
        </w:rPr>
      </w:pPr>
      <w:r>
        <w:rPr>
          <w:rFonts w:cs="Times New Roman"/>
          <w:color w:val="auto"/>
        </w:rPr>
        <w:t xml:space="preserve">1. </w:t>
        <w:tab/>
      </w:r>
      <w:r>
        <w:rPr>
          <w:color w:val="auto"/>
        </w:rPr>
        <w:t>Tutte le informazioni concernenti il presente Avviso Pubblico e gli eventuali chiarimenti di carattere tecnico-amministrativo possono essere richieste al Comune di Reggio Calabria, U.P.I. Economia Urbana, Occupazione, Gestione procedimenti di gara e negoziali, indirizzo e-mail: infoavvisi</w:t>
      </w:r>
      <w:hyperlink r:id="rId7" w:tgtFrame="mailto:dotelavoro@reggiocal.it">
        <w:r>
          <w:rPr>
            <w:rStyle w:val="CollegamentoInternet"/>
            <w:color w:val="auto"/>
            <w:u w:val="none"/>
          </w:rPr>
          <w:t>@reggiocal.it</w:t>
        </w:r>
      </w:hyperlink>
    </w:p>
    <w:p>
      <w:pPr>
        <w:pStyle w:val="ListParagraph"/>
        <w:widowControl/>
        <w:numPr>
          <w:ilvl w:val="0"/>
          <w:numId w:val="43"/>
        </w:numPr>
        <w:spacing w:before="0" w:after="120"/>
        <w:ind w:left="357" w:hanging="357"/>
        <w:contextualSpacing w:val="false"/>
        <w:jc w:val="both"/>
        <w:rPr>
          <w:rFonts w:cs="Times New Roman"/>
          <w:color w:val="auto"/>
        </w:rPr>
      </w:pPr>
      <w:r>
        <w:rPr>
          <w:rFonts w:cs="Times New Roman"/>
          <w:color w:val="auto"/>
        </w:rPr>
        <w:t>Le informazioni e i chiarimenti potranno essere richiesti fino a tre giorni prima della data di scadenza dell’Avviso.</w:t>
      </w:r>
    </w:p>
    <w:p>
      <w:pPr>
        <w:pStyle w:val="Normal"/>
        <w:jc w:val="both"/>
        <w:rPr>
          <w:rFonts w:eastAsia="" w:cs="Times New Roman" w:eastAsiaTheme="majorEastAsia"/>
          <w:b/>
          <w:b/>
          <w:bCs/>
          <w:color w:val="auto"/>
        </w:rPr>
      </w:pPr>
      <w:r>
        <w:rPr>
          <w:rFonts w:eastAsia="" w:cs="Times New Roman" w:eastAsiaTheme="majorEastAsia"/>
          <w:b/>
          <w:bCs/>
          <w:color w:val="auto"/>
        </w:rPr>
      </w:r>
    </w:p>
    <w:p>
      <w:pPr>
        <w:pStyle w:val="Titolo1"/>
        <w:tabs>
          <w:tab w:val="clear" w:pos="720"/>
          <w:tab w:val="left" w:pos="619" w:leader="none"/>
        </w:tabs>
        <w:spacing w:before="0" w:after="120"/>
        <w:ind w:left="357" w:hanging="357"/>
        <w:jc w:val="both"/>
        <w:rPr>
          <w:rFonts w:ascii="Titillium Web" w:hAnsi="Titillium Web" w:cs="Times New Roman"/>
          <w:b/>
          <w:b/>
          <w:bCs/>
          <w:color w:val="auto"/>
          <w:sz w:val="28"/>
          <w:szCs w:val="28"/>
        </w:rPr>
      </w:pPr>
      <w:bookmarkStart w:id="134" w:name="_Toc215218286"/>
      <w:r>
        <w:rPr>
          <w:rFonts w:cs="Times New Roman" w:ascii="Titillium Web" w:hAnsi="Titillium Web"/>
          <w:b/>
          <w:bCs/>
          <w:color w:val="auto"/>
          <w:sz w:val="28"/>
          <w:szCs w:val="28"/>
        </w:rPr>
        <w:t>8. R</w:t>
      </w:r>
      <w:bookmarkStart w:id="135" w:name="_Hlk203733010"/>
      <w:r>
        <w:rPr>
          <w:rFonts w:cs="Times New Roman" w:ascii="Titillium Web" w:hAnsi="Titillium Web"/>
          <w:b/>
          <w:bCs/>
          <w:color w:val="auto"/>
          <w:sz w:val="28"/>
          <w:szCs w:val="28"/>
        </w:rPr>
        <w:t>invio</w:t>
      </w:r>
      <w:bookmarkEnd w:id="134"/>
    </w:p>
    <w:p>
      <w:pPr>
        <w:pStyle w:val="Normal"/>
        <w:spacing w:before="0" w:after="120"/>
        <w:jc w:val="both"/>
        <w:rPr>
          <w:rFonts w:cs="Times New Roman"/>
          <w:color w:val="auto"/>
        </w:rPr>
      </w:pPr>
      <w:r>
        <w:rPr>
          <w:rFonts w:cs="Times New Roman"/>
          <w:color w:val="auto"/>
        </w:rPr>
        <w:t xml:space="preserve">Per quanto non esplicitato dal presente Avviso, si rinvia alla normativa e agli atti amministrativi citati al par. 1.4, alla normativa comunitaria, nazionale e regionale comunque applicabile, nonché alle disposizioni emanate dall’Autorità di Gestione del </w:t>
      </w:r>
      <w:r>
        <w:rPr>
          <w:rFonts w:cs="Times New Roman"/>
          <w:color w:val="000009"/>
        </w:rPr>
        <w:t>PN Metro Plus Città Medie Sud 2021-2027</w:t>
      </w:r>
      <w:r>
        <w:rPr>
          <w:rFonts w:cs="Times New Roman"/>
          <w:color w:val="auto"/>
        </w:rPr>
        <w:t xml:space="preserve"> e dall’Autorità Urbana che costituiscono disposizioni </w:t>
      </w:r>
      <w:bookmarkEnd w:id="135"/>
      <w:r>
        <w:rPr>
          <w:rFonts w:cs="Times New Roman"/>
          <w:color w:val="auto"/>
        </w:rPr>
        <w:t>vigenti per i partecipanti al presente Avviso.</w:t>
      </w:r>
    </w:p>
    <w:p>
      <w:pPr>
        <w:pStyle w:val="Normal"/>
        <w:widowControl/>
        <w:spacing w:before="0" w:after="120"/>
        <w:jc w:val="both"/>
        <w:rPr>
          <w:rFonts w:eastAsia="Aptos" w:cs="Times New Roman"/>
          <w:b/>
          <w:b/>
          <w:bCs/>
          <w:color w:val="auto"/>
          <w:kern w:val="2"/>
        </w:rPr>
      </w:pPr>
      <w:r>
        <w:rPr/>
      </w:r>
    </w:p>
    <w:sectPr>
      <w:headerReference w:type="default" r:id="rId8"/>
      <w:headerReference w:type="first" r:id="rId9"/>
      <w:footerReference w:type="default" r:id="rId10"/>
      <w:footerReference w:type="first" r:id="rId11"/>
      <w:footnotePr>
        <w:numFmt w:val="decimal"/>
      </w:footnotePr>
      <w:type w:val="nextPage"/>
      <w:pgSz w:w="11906" w:h="16850"/>
      <w:pgMar w:left="1080" w:right="1080" w:gutter="0" w:header="0" w:top="1440" w:footer="410" w:bottom="993"/>
      <w:pgNumType w:start="1" w:fmt="decimal"/>
      <w:formProt w:val="false"/>
      <w:titlePg/>
      <w:textDirection w:val="lrTb"/>
      <w:docGrid w:type="default" w:linePitch="299" w:charSpace="4096"/>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0"/>
    <w:family w:val="roman"/>
    <w:pitch w:val="variable"/>
  </w:font>
  <w:font w:name="Calibri">
    <w:charset w:val="00"/>
    <w:family w:val="roman"/>
    <w:pitch w:val="variable"/>
  </w:font>
  <w:font w:name="Aptos">
    <w:charset w:val="00"/>
    <w:family w:val="roman"/>
    <w:pitch w:val="variable"/>
  </w:font>
  <w:font w:name="Cambria">
    <w:charset w:val="00"/>
    <w:family w:val="roman"/>
    <w:pitch w:val="variable"/>
  </w:font>
  <w:font w:name="Titillium Web SemiBold">
    <w:charset w:val="00"/>
    <w:family w:val="roman"/>
    <w:pitch w:val="variable"/>
  </w:font>
  <w:font w:name="Liberation Sans">
    <w:altName w:val="Arial"/>
    <w:charset w:val="00"/>
    <w:family w:val="swiss"/>
    <w:pitch w:val="variable"/>
  </w:font>
  <w:font w:name="Titillium Web">
    <w:charset w:val="00"/>
    <w:family w:val="roman"/>
    <w:pitch w:val="variable"/>
  </w:font>
  <w:font w:name="Aptos SemiBold">
    <w:charset w:val="00"/>
    <w:family w:val="roman"/>
    <w:pitch w:val="variable"/>
  </w:font>
  <w:font w:name="Helvetica">
    <w:altName w:val="Arial"/>
    <w:charset w:val="00"/>
    <w:family w:val="roman"/>
    <w:pitch w:val="variable"/>
  </w:font>
  <w:font w:name="Symbol">
    <w:charset w:val="02"/>
    <w:family w:val="auto"/>
    <w:pitch w:val="default"/>
  </w:font>
  <w:font w:name="Times New Roman">
    <w:charset w:val="01"/>
    <w:family w:val="roman"/>
    <w:pitch w:val="variable"/>
  </w:font>
  <w:font w:name="Courier New">
    <w:charset w:val="01"/>
    <w:family w:val="modern"/>
    <w:pitch w:val="fixed"/>
  </w:font>
  <w:font w:name="Wingdings">
    <w:charset w:val="02"/>
    <w:family w:val="auto"/>
    <w:pitch w:val="variable"/>
  </w:font>
  <w:font w:name="Verdana">
    <w:charset w:val="01"/>
    <w:family w:val="swiss"/>
    <w:pitch w:val="variable"/>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sdt>
    <w:sdtPr>
      <w:docPartObj>
        <w:docPartGallery w:val="Page Numbers (Bottom of Page)"/>
        <w:docPartUnique w:val="true"/>
      </w:docPartObj>
      <w:id w:val="747279693"/>
    </w:sdtPr>
    <w:sdtContent>
      <w:p>
        <w:pPr>
          <w:pStyle w:val="Pidipagina"/>
          <w:jc w:val="center"/>
          <w:rPr/>
        </w:pPr>
        <w:r>
          <w:rPr/>
          <w:drawing>
            <wp:anchor behindDoc="1" distT="0" distB="0" distL="0" distR="0" simplePos="0" locked="0" layoutInCell="0" allowOverlap="1" relativeHeight="30">
              <wp:simplePos x="0" y="0"/>
              <wp:positionH relativeFrom="column">
                <wp:posOffset>-685800</wp:posOffset>
              </wp:positionH>
              <wp:positionV relativeFrom="paragraph">
                <wp:posOffset>-137795</wp:posOffset>
              </wp:positionV>
              <wp:extent cx="7560310" cy="568960"/>
              <wp:effectExtent l="0" t="0" r="0" b="0"/>
              <wp:wrapNone/>
              <wp:docPr id="8" name="Immagine 14358787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magine 143587874" descr=""/>
                      <pic:cNvPicPr>
                        <a:picLocks noChangeAspect="1" noChangeArrowheads="1"/>
                      </pic:cNvPicPr>
                    </pic:nvPicPr>
                    <pic:blipFill>
                      <a:blip r:embed="rId1"/>
                      <a:stretch>
                        <a:fillRect/>
                      </a:stretch>
                    </pic:blipFill>
                    <pic:spPr bwMode="auto">
                      <a:xfrm>
                        <a:off x="0" y="0"/>
                        <a:ext cx="7560310" cy="568960"/>
                      </a:xfrm>
                      <a:prstGeom prst="rect">
                        <a:avLst/>
                      </a:prstGeom>
                    </pic:spPr>
                  </pic:pic>
                </a:graphicData>
              </a:graphic>
            </wp:anchor>
          </w:drawing>
          <w:fldChar w:fldCharType="begin"/>
        </w:r>
        <w:r>
          <w:rPr/>
          <w:instrText xml:space="preserve"> PAGE </w:instrText>
        </w:r>
        <w:r>
          <w:rPr/>
          <w:fldChar w:fldCharType="separate"/>
        </w:r>
        <w:r>
          <w:rPr/>
          <w:t>6</w:t>
        </w:r>
        <w:r>
          <w:rPr/>
          <w:fldChar w:fldCharType="end"/>
        </w:r>
      </w:p>
    </w:sdtContent>
  </w:sdt>
  <w:p>
    <w:pPr>
      <w:pStyle w:val="Normal"/>
      <w:spacing w:lineRule="auto" w:line="12"/>
      <w:ind w:left="-708" w:hanging="0"/>
      <w:rPr>
        <w:b/>
        <w:b/>
        <w:sz w:val="20"/>
      </w:rPr>
    </w:pPr>
    <w:r>
      <w:rPr>
        <w:b/>
        <w:sz w:val="20"/>
      </w:rPr>
    </w:r>
  </w:p>
</w:ftr>
</file>

<file path=word/footer2.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spacing w:lineRule="auto" w:line="12"/>
      <w:rPr>
        <w:b/>
        <w:b/>
        <w:sz w:val="20"/>
      </w:rPr>
    </w:pPr>
    <w:r>
      <w:rPr>
        <w:b/>
        <w:sz w:val="20"/>
      </w:rPr>
    </w:r>
  </w:p>
  <w:p>
    <w:pPr>
      <w:pStyle w:val="Pidipagina"/>
      <w:ind w:left="-708" w:hanging="372"/>
      <w:rPr/>
    </w:pPr>
    <w:r>
      <w:rPr/>
      <w:drawing>
        <wp:inline distT="0" distB="0" distL="0" distR="0">
          <wp:extent cx="7556500" cy="565150"/>
          <wp:effectExtent l="0" t="0" r="0" b="0"/>
          <wp:docPr id="9" name="Elemento grafico 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Elemento grafico 2" descr=""/>
                  <pic:cNvPicPr>
                    <a:picLocks noChangeAspect="1" noChangeArrowheads="1"/>
                  </pic:cNvPicPr>
                </pic:nvPicPr>
                <pic:blipFill>
                  <a:blip r:embed="rId1"/>
                  <a:stretch>
                    <a:fillRect/>
                  </a:stretch>
                </pic:blipFill>
                <pic:spPr bwMode="auto">
                  <a:xfrm>
                    <a:off x="0" y="0"/>
                    <a:ext cx="7556500" cy="565150"/>
                  </a:xfrm>
                  <a:prstGeom prst="rect">
                    <a:avLst/>
                  </a:prstGeom>
                </pic:spPr>
              </pic:pic>
            </a:graphicData>
          </a:graphic>
        </wp:inline>
      </w:drawing>
    </w:r>
  </w:p>
</w:ftr>
</file>

<file path=word/footnotes.xml><?xml version="1.0" encoding="utf-8"?>
<w:footnotes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footnote w:id="0" w:type="separator">
    <w:p>
      <w:pPr>
        <w:rPr>
          <w:sz w:val="12"/>
        </w:rPr>
      </w:pPr>
      <w:r>
        <w:separator/>
      </w:r>
    </w:p>
  </w:footnote>
  <w:footnote w:id="1" w:type="continuationSeparator">
    <w:p>
      <w:pPr>
        <w:rPr>
          <w:sz w:val="12"/>
        </w:rPr>
      </w:pPr>
      <w:r>
        <w:continuationSeparator/>
      </w:r>
    </w:p>
  </w:footnote>
  <w:footnote w:id="2">
    <w:p>
      <w:pPr>
        <w:pStyle w:val="Normal"/>
        <w:spacing w:lineRule="exact" w:line="243"/>
        <w:jc w:val="both"/>
        <w:rPr>
          <w:rFonts w:ascii="Times New Roman" w:hAnsi="Times New Roman" w:cs="Times New Roman"/>
          <w:sz w:val="16"/>
          <w:szCs w:val="16"/>
        </w:rPr>
      </w:pPr>
      <w:r>
        <w:rPr>
          <w:rStyle w:val="Caratterinotaapidipagina"/>
        </w:rPr>
        <w:footnoteRef/>
      </w:r>
      <w:r>
        <w:rPr/>
        <w:t xml:space="preserve"> </w:t>
      </w:r>
      <w:r>
        <w:rPr>
          <w:rFonts w:cs="Times New Roman" w:ascii="Times New Roman" w:hAnsi="Times New Roman"/>
          <w:color w:val="000009"/>
          <w:sz w:val="16"/>
          <w:szCs w:val="16"/>
        </w:rPr>
        <w:t>Per</w:t>
      </w:r>
      <w:r>
        <w:rPr>
          <w:rFonts w:cs="Times New Roman" w:ascii="Times New Roman" w:hAnsi="Times New Roman"/>
          <w:color w:val="000009"/>
          <w:spacing w:val="-6"/>
          <w:sz w:val="16"/>
          <w:szCs w:val="16"/>
        </w:rPr>
        <w:t xml:space="preserve"> </w:t>
      </w:r>
      <w:r>
        <w:rPr>
          <w:rFonts w:cs="Times New Roman" w:ascii="Times New Roman" w:hAnsi="Times New Roman"/>
          <w:color w:val="000009"/>
          <w:sz w:val="16"/>
          <w:szCs w:val="16"/>
        </w:rPr>
        <w:t>«impresa</w:t>
      </w:r>
      <w:r>
        <w:rPr>
          <w:rFonts w:cs="Times New Roman" w:ascii="Times New Roman" w:hAnsi="Times New Roman"/>
          <w:color w:val="000009"/>
          <w:spacing w:val="-5"/>
          <w:sz w:val="16"/>
          <w:szCs w:val="16"/>
        </w:rPr>
        <w:t xml:space="preserve"> </w:t>
      </w:r>
      <w:r>
        <w:rPr>
          <w:rFonts w:cs="Times New Roman" w:ascii="Times New Roman" w:hAnsi="Times New Roman"/>
          <w:color w:val="000009"/>
          <w:sz w:val="16"/>
          <w:szCs w:val="16"/>
        </w:rPr>
        <w:t>unica»</w:t>
      </w:r>
      <w:r>
        <w:rPr>
          <w:rFonts w:cs="Times New Roman" w:ascii="Times New Roman" w:hAnsi="Times New Roman"/>
          <w:color w:val="000009"/>
          <w:spacing w:val="-5"/>
          <w:sz w:val="16"/>
          <w:szCs w:val="16"/>
        </w:rPr>
        <w:t xml:space="preserve"> </w:t>
      </w:r>
      <w:r>
        <w:rPr>
          <w:rFonts w:cs="Times New Roman" w:ascii="Times New Roman" w:hAnsi="Times New Roman"/>
          <w:color w:val="000009"/>
          <w:sz w:val="16"/>
          <w:szCs w:val="16"/>
        </w:rPr>
        <w:t>si</w:t>
      </w:r>
      <w:r>
        <w:rPr>
          <w:rFonts w:cs="Times New Roman" w:ascii="Times New Roman" w:hAnsi="Times New Roman"/>
          <w:color w:val="000009"/>
          <w:spacing w:val="-6"/>
          <w:sz w:val="16"/>
          <w:szCs w:val="16"/>
        </w:rPr>
        <w:t xml:space="preserve"> </w:t>
      </w:r>
      <w:r>
        <w:rPr>
          <w:rFonts w:cs="Times New Roman" w:ascii="Times New Roman" w:hAnsi="Times New Roman"/>
          <w:color w:val="000009"/>
          <w:sz w:val="16"/>
          <w:szCs w:val="16"/>
        </w:rPr>
        <w:t>intende</w:t>
      </w:r>
      <w:r>
        <w:rPr>
          <w:rFonts w:cs="Times New Roman" w:ascii="Times New Roman" w:hAnsi="Times New Roman"/>
          <w:color w:val="000009"/>
          <w:spacing w:val="-6"/>
          <w:sz w:val="16"/>
          <w:szCs w:val="16"/>
        </w:rPr>
        <w:t xml:space="preserve"> </w:t>
      </w:r>
      <w:r>
        <w:rPr>
          <w:rFonts w:cs="Times New Roman" w:ascii="Times New Roman" w:hAnsi="Times New Roman"/>
          <w:color w:val="000009"/>
          <w:sz w:val="16"/>
          <w:szCs w:val="16"/>
        </w:rPr>
        <w:t>l’insieme</w:t>
      </w:r>
      <w:r>
        <w:rPr>
          <w:rFonts w:cs="Times New Roman" w:ascii="Times New Roman" w:hAnsi="Times New Roman"/>
          <w:color w:val="000009"/>
          <w:spacing w:val="-6"/>
          <w:sz w:val="16"/>
          <w:szCs w:val="16"/>
        </w:rPr>
        <w:t xml:space="preserve"> </w:t>
      </w:r>
      <w:r>
        <w:rPr>
          <w:rFonts w:cs="Times New Roman" w:ascii="Times New Roman" w:hAnsi="Times New Roman"/>
          <w:color w:val="000009"/>
          <w:sz w:val="16"/>
          <w:szCs w:val="16"/>
        </w:rPr>
        <w:t>delle</w:t>
      </w:r>
      <w:r>
        <w:rPr>
          <w:rFonts w:cs="Times New Roman" w:ascii="Times New Roman" w:hAnsi="Times New Roman"/>
          <w:color w:val="000009"/>
          <w:spacing w:val="-7"/>
          <w:sz w:val="16"/>
          <w:szCs w:val="16"/>
        </w:rPr>
        <w:t xml:space="preserve"> </w:t>
      </w:r>
      <w:r>
        <w:rPr>
          <w:rFonts w:cs="Times New Roman" w:ascii="Times New Roman" w:hAnsi="Times New Roman"/>
          <w:color w:val="000009"/>
          <w:sz w:val="16"/>
          <w:szCs w:val="16"/>
        </w:rPr>
        <w:t>imprese,</w:t>
      </w:r>
      <w:r>
        <w:rPr>
          <w:rFonts w:cs="Times New Roman" w:ascii="Times New Roman" w:hAnsi="Times New Roman"/>
          <w:color w:val="000009"/>
          <w:spacing w:val="-5"/>
          <w:sz w:val="16"/>
          <w:szCs w:val="16"/>
        </w:rPr>
        <w:t xml:space="preserve"> </w:t>
      </w:r>
      <w:r>
        <w:rPr>
          <w:rFonts w:cs="Times New Roman" w:ascii="Times New Roman" w:hAnsi="Times New Roman"/>
          <w:color w:val="000009"/>
          <w:sz w:val="16"/>
          <w:szCs w:val="16"/>
        </w:rPr>
        <w:t>fra</w:t>
      </w:r>
      <w:r>
        <w:rPr>
          <w:rFonts w:cs="Times New Roman" w:ascii="Times New Roman" w:hAnsi="Times New Roman"/>
          <w:color w:val="000009"/>
          <w:spacing w:val="-5"/>
          <w:sz w:val="16"/>
          <w:szCs w:val="16"/>
        </w:rPr>
        <w:t xml:space="preserve"> </w:t>
      </w:r>
      <w:r>
        <w:rPr>
          <w:rFonts w:cs="Times New Roman" w:ascii="Times New Roman" w:hAnsi="Times New Roman"/>
          <w:color w:val="000009"/>
          <w:sz w:val="16"/>
          <w:szCs w:val="16"/>
        </w:rPr>
        <w:t>le</w:t>
      </w:r>
      <w:r>
        <w:rPr>
          <w:rFonts w:cs="Times New Roman" w:ascii="Times New Roman" w:hAnsi="Times New Roman"/>
          <w:color w:val="000009"/>
          <w:spacing w:val="-6"/>
          <w:sz w:val="16"/>
          <w:szCs w:val="16"/>
        </w:rPr>
        <w:t xml:space="preserve"> </w:t>
      </w:r>
      <w:r>
        <w:rPr>
          <w:rFonts w:cs="Times New Roman" w:ascii="Times New Roman" w:hAnsi="Times New Roman"/>
          <w:color w:val="000009"/>
          <w:sz w:val="16"/>
          <w:szCs w:val="16"/>
        </w:rPr>
        <w:t>quali</w:t>
      </w:r>
      <w:r>
        <w:rPr>
          <w:rFonts w:cs="Times New Roman" w:ascii="Times New Roman" w:hAnsi="Times New Roman"/>
          <w:color w:val="000009"/>
          <w:spacing w:val="-5"/>
          <w:sz w:val="16"/>
          <w:szCs w:val="16"/>
        </w:rPr>
        <w:t xml:space="preserve"> </w:t>
      </w:r>
      <w:r>
        <w:rPr>
          <w:rFonts w:cs="Times New Roman" w:ascii="Times New Roman" w:hAnsi="Times New Roman"/>
          <w:color w:val="000009"/>
          <w:sz w:val="16"/>
          <w:szCs w:val="16"/>
        </w:rPr>
        <w:t>esiste</w:t>
      </w:r>
      <w:r>
        <w:rPr>
          <w:rFonts w:cs="Times New Roman" w:ascii="Times New Roman" w:hAnsi="Times New Roman"/>
          <w:color w:val="000009"/>
          <w:spacing w:val="-6"/>
          <w:sz w:val="16"/>
          <w:szCs w:val="16"/>
        </w:rPr>
        <w:t xml:space="preserve"> </w:t>
      </w:r>
      <w:r>
        <w:rPr>
          <w:rFonts w:cs="Times New Roman" w:ascii="Times New Roman" w:hAnsi="Times New Roman"/>
          <w:color w:val="000009"/>
          <w:sz w:val="16"/>
          <w:szCs w:val="16"/>
        </w:rPr>
        <w:t>almeno</w:t>
      </w:r>
      <w:r>
        <w:rPr>
          <w:rFonts w:cs="Times New Roman" w:ascii="Times New Roman" w:hAnsi="Times New Roman"/>
          <w:color w:val="000009"/>
          <w:spacing w:val="-5"/>
          <w:sz w:val="16"/>
          <w:szCs w:val="16"/>
        </w:rPr>
        <w:t xml:space="preserve"> </w:t>
      </w:r>
      <w:r>
        <w:rPr>
          <w:rFonts w:cs="Times New Roman" w:ascii="Times New Roman" w:hAnsi="Times New Roman"/>
          <w:color w:val="000009"/>
          <w:sz w:val="16"/>
          <w:szCs w:val="16"/>
        </w:rPr>
        <w:t>una</w:t>
      </w:r>
      <w:r>
        <w:rPr>
          <w:rFonts w:cs="Times New Roman" w:ascii="Times New Roman" w:hAnsi="Times New Roman"/>
          <w:color w:val="000009"/>
          <w:spacing w:val="-5"/>
          <w:sz w:val="16"/>
          <w:szCs w:val="16"/>
        </w:rPr>
        <w:t xml:space="preserve"> </w:t>
      </w:r>
      <w:r>
        <w:rPr>
          <w:rFonts w:cs="Times New Roman" w:ascii="Times New Roman" w:hAnsi="Times New Roman"/>
          <w:color w:val="000009"/>
          <w:sz w:val="16"/>
          <w:szCs w:val="16"/>
        </w:rPr>
        <w:t>delle</w:t>
      </w:r>
      <w:r>
        <w:rPr>
          <w:rFonts w:cs="Times New Roman" w:ascii="Times New Roman" w:hAnsi="Times New Roman"/>
          <w:color w:val="000009"/>
          <w:spacing w:val="-7"/>
          <w:sz w:val="16"/>
          <w:szCs w:val="16"/>
        </w:rPr>
        <w:t xml:space="preserve"> </w:t>
      </w:r>
      <w:r>
        <w:rPr>
          <w:rFonts w:cs="Times New Roman" w:ascii="Times New Roman" w:hAnsi="Times New Roman"/>
          <w:color w:val="000009"/>
          <w:sz w:val="16"/>
          <w:szCs w:val="16"/>
        </w:rPr>
        <w:t>relazioni</w:t>
      </w:r>
      <w:r>
        <w:rPr>
          <w:rFonts w:cs="Times New Roman" w:ascii="Times New Roman" w:hAnsi="Times New Roman"/>
          <w:color w:val="000009"/>
          <w:spacing w:val="-6"/>
          <w:sz w:val="16"/>
          <w:szCs w:val="16"/>
        </w:rPr>
        <w:t xml:space="preserve"> </w:t>
      </w:r>
      <w:r>
        <w:rPr>
          <w:rFonts w:cs="Times New Roman" w:ascii="Times New Roman" w:hAnsi="Times New Roman"/>
          <w:color w:val="000009"/>
          <w:spacing w:val="-2"/>
          <w:sz w:val="16"/>
          <w:szCs w:val="16"/>
        </w:rPr>
        <w:t>seguenti:</w:t>
      </w:r>
      <w:r>
        <w:rPr>
          <w:rFonts w:cs="Times New Roman" w:ascii="Times New Roman" w:hAnsi="Times New Roman"/>
          <w:sz w:val="16"/>
          <w:szCs w:val="16"/>
        </w:rPr>
        <w:t xml:space="preserve"> a) </w:t>
      </w:r>
      <w:r>
        <w:rPr>
          <w:rFonts w:cs="Times New Roman" w:ascii="Times New Roman" w:hAnsi="Times New Roman"/>
          <w:color w:val="000009"/>
          <w:sz w:val="16"/>
          <w:szCs w:val="16"/>
        </w:rPr>
        <w:t>un’impresa</w:t>
      </w:r>
      <w:r>
        <w:rPr>
          <w:rFonts w:cs="Times New Roman" w:ascii="Times New Roman" w:hAnsi="Times New Roman"/>
          <w:color w:val="000009"/>
          <w:spacing w:val="-5"/>
          <w:sz w:val="16"/>
          <w:szCs w:val="16"/>
        </w:rPr>
        <w:t xml:space="preserve"> </w:t>
      </w:r>
      <w:r>
        <w:rPr>
          <w:rFonts w:cs="Times New Roman" w:ascii="Times New Roman" w:hAnsi="Times New Roman"/>
          <w:color w:val="000009"/>
          <w:sz w:val="16"/>
          <w:szCs w:val="16"/>
        </w:rPr>
        <w:t>detiene</w:t>
      </w:r>
      <w:r>
        <w:rPr>
          <w:rFonts w:cs="Times New Roman" w:ascii="Times New Roman" w:hAnsi="Times New Roman"/>
          <w:color w:val="000009"/>
          <w:spacing w:val="-6"/>
          <w:sz w:val="16"/>
          <w:szCs w:val="16"/>
        </w:rPr>
        <w:t xml:space="preserve"> </w:t>
      </w:r>
      <w:r>
        <w:rPr>
          <w:rFonts w:cs="Times New Roman" w:ascii="Times New Roman" w:hAnsi="Times New Roman"/>
          <w:color w:val="000009"/>
          <w:sz w:val="16"/>
          <w:szCs w:val="16"/>
        </w:rPr>
        <w:t>la</w:t>
      </w:r>
      <w:r>
        <w:rPr>
          <w:rFonts w:cs="Times New Roman" w:ascii="Times New Roman" w:hAnsi="Times New Roman"/>
          <w:color w:val="000009"/>
          <w:spacing w:val="-5"/>
          <w:sz w:val="16"/>
          <w:szCs w:val="16"/>
        </w:rPr>
        <w:t xml:space="preserve"> </w:t>
      </w:r>
      <w:r>
        <w:rPr>
          <w:rFonts w:cs="Times New Roman" w:ascii="Times New Roman" w:hAnsi="Times New Roman"/>
          <w:color w:val="000009"/>
          <w:sz w:val="16"/>
          <w:szCs w:val="16"/>
        </w:rPr>
        <w:t>maggioranza</w:t>
      </w:r>
      <w:r>
        <w:rPr>
          <w:rFonts w:cs="Times New Roman" w:ascii="Times New Roman" w:hAnsi="Times New Roman"/>
          <w:color w:val="000009"/>
          <w:spacing w:val="-4"/>
          <w:sz w:val="16"/>
          <w:szCs w:val="16"/>
        </w:rPr>
        <w:t xml:space="preserve"> </w:t>
      </w:r>
      <w:r>
        <w:rPr>
          <w:rFonts w:cs="Times New Roman" w:ascii="Times New Roman" w:hAnsi="Times New Roman"/>
          <w:color w:val="000009"/>
          <w:sz w:val="16"/>
          <w:szCs w:val="16"/>
        </w:rPr>
        <w:t>dei</w:t>
      </w:r>
      <w:r>
        <w:rPr>
          <w:rFonts w:cs="Times New Roman" w:ascii="Times New Roman" w:hAnsi="Times New Roman"/>
          <w:color w:val="000009"/>
          <w:spacing w:val="-6"/>
          <w:sz w:val="16"/>
          <w:szCs w:val="16"/>
        </w:rPr>
        <w:t xml:space="preserve"> </w:t>
      </w:r>
      <w:r>
        <w:rPr>
          <w:rFonts w:cs="Times New Roman" w:ascii="Times New Roman" w:hAnsi="Times New Roman"/>
          <w:color w:val="000009"/>
          <w:sz w:val="16"/>
          <w:szCs w:val="16"/>
        </w:rPr>
        <w:t>diritti</w:t>
      </w:r>
      <w:r>
        <w:rPr>
          <w:rFonts w:cs="Times New Roman" w:ascii="Times New Roman" w:hAnsi="Times New Roman"/>
          <w:color w:val="000009"/>
          <w:spacing w:val="-5"/>
          <w:sz w:val="16"/>
          <w:szCs w:val="16"/>
        </w:rPr>
        <w:t xml:space="preserve"> </w:t>
      </w:r>
      <w:r>
        <w:rPr>
          <w:rFonts w:cs="Times New Roman" w:ascii="Times New Roman" w:hAnsi="Times New Roman"/>
          <w:color w:val="000009"/>
          <w:sz w:val="16"/>
          <w:szCs w:val="16"/>
        </w:rPr>
        <w:t>di</w:t>
      </w:r>
      <w:r>
        <w:rPr>
          <w:rFonts w:cs="Times New Roman" w:ascii="Times New Roman" w:hAnsi="Times New Roman"/>
          <w:color w:val="000009"/>
          <w:spacing w:val="-6"/>
          <w:sz w:val="16"/>
          <w:szCs w:val="16"/>
        </w:rPr>
        <w:t xml:space="preserve"> </w:t>
      </w:r>
      <w:r>
        <w:rPr>
          <w:rFonts w:cs="Times New Roman" w:ascii="Times New Roman" w:hAnsi="Times New Roman"/>
          <w:color w:val="000009"/>
          <w:sz w:val="16"/>
          <w:szCs w:val="16"/>
        </w:rPr>
        <w:t>voto</w:t>
      </w:r>
      <w:r>
        <w:rPr>
          <w:rFonts w:cs="Times New Roman" w:ascii="Times New Roman" w:hAnsi="Times New Roman"/>
          <w:color w:val="000009"/>
          <w:spacing w:val="-4"/>
          <w:sz w:val="16"/>
          <w:szCs w:val="16"/>
        </w:rPr>
        <w:t xml:space="preserve"> </w:t>
      </w:r>
      <w:r>
        <w:rPr>
          <w:rFonts w:cs="Times New Roman" w:ascii="Times New Roman" w:hAnsi="Times New Roman"/>
          <w:color w:val="000009"/>
          <w:sz w:val="16"/>
          <w:szCs w:val="16"/>
        </w:rPr>
        <w:t>degli</w:t>
      </w:r>
      <w:r>
        <w:rPr>
          <w:rFonts w:cs="Times New Roman" w:ascii="Times New Roman" w:hAnsi="Times New Roman"/>
          <w:color w:val="000009"/>
          <w:spacing w:val="-6"/>
          <w:sz w:val="16"/>
          <w:szCs w:val="16"/>
        </w:rPr>
        <w:t xml:space="preserve"> </w:t>
      </w:r>
      <w:r>
        <w:rPr>
          <w:rFonts w:cs="Times New Roman" w:ascii="Times New Roman" w:hAnsi="Times New Roman"/>
          <w:color w:val="000009"/>
          <w:sz w:val="16"/>
          <w:szCs w:val="16"/>
        </w:rPr>
        <w:t>azionisti</w:t>
      </w:r>
      <w:r>
        <w:rPr>
          <w:rFonts w:cs="Times New Roman" w:ascii="Times New Roman" w:hAnsi="Times New Roman"/>
          <w:color w:val="000009"/>
          <w:spacing w:val="-5"/>
          <w:sz w:val="16"/>
          <w:szCs w:val="16"/>
        </w:rPr>
        <w:t xml:space="preserve"> </w:t>
      </w:r>
      <w:r>
        <w:rPr>
          <w:rFonts w:cs="Times New Roman" w:ascii="Times New Roman" w:hAnsi="Times New Roman"/>
          <w:color w:val="000009"/>
          <w:sz w:val="16"/>
          <w:szCs w:val="16"/>
        </w:rPr>
        <w:t>o</w:t>
      </w:r>
      <w:r>
        <w:rPr>
          <w:rFonts w:cs="Times New Roman" w:ascii="Times New Roman" w:hAnsi="Times New Roman"/>
          <w:color w:val="000009"/>
          <w:spacing w:val="-5"/>
          <w:sz w:val="16"/>
          <w:szCs w:val="16"/>
        </w:rPr>
        <w:t xml:space="preserve"> </w:t>
      </w:r>
      <w:r>
        <w:rPr>
          <w:rFonts w:cs="Times New Roman" w:ascii="Times New Roman" w:hAnsi="Times New Roman"/>
          <w:color w:val="000009"/>
          <w:sz w:val="16"/>
          <w:szCs w:val="16"/>
        </w:rPr>
        <w:t>soci</w:t>
      </w:r>
      <w:r>
        <w:rPr>
          <w:rFonts w:cs="Times New Roman" w:ascii="Times New Roman" w:hAnsi="Times New Roman"/>
          <w:color w:val="000009"/>
          <w:spacing w:val="-5"/>
          <w:sz w:val="16"/>
          <w:szCs w:val="16"/>
        </w:rPr>
        <w:t xml:space="preserve"> </w:t>
      </w:r>
      <w:r>
        <w:rPr>
          <w:rFonts w:cs="Times New Roman" w:ascii="Times New Roman" w:hAnsi="Times New Roman"/>
          <w:color w:val="000009"/>
          <w:sz w:val="16"/>
          <w:szCs w:val="16"/>
        </w:rPr>
        <w:t>di</w:t>
      </w:r>
      <w:r>
        <w:rPr>
          <w:rFonts w:cs="Times New Roman" w:ascii="Times New Roman" w:hAnsi="Times New Roman"/>
          <w:color w:val="000009"/>
          <w:spacing w:val="-8"/>
          <w:sz w:val="16"/>
          <w:szCs w:val="16"/>
        </w:rPr>
        <w:t xml:space="preserve"> </w:t>
      </w:r>
      <w:r>
        <w:rPr>
          <w:rFonts w:cs="Times New Roman" w:ascii="Times New Roman" w:hAnsi="Times New Roman"/>
          <w:color w:val="000009"/>
          <w:sz w:val="16"/>
          <w:szCs w:val="16"/>
        </w:rPr>
        <w:t>un’altra</w:t>
      </w:r>
      <w:r>
        <w:rPr>
          <w:rFonts w:cs="Times New Roman" w:ascii="Times New Roman" w:hAnsi="Times New Roman"/>
          <w:color w:val="000009"/>
          <w:spacing w:val="-4"/>
          <w:sz w:val="16"/>
          <w:szCs w:val="16"/>
        </w:rPr>
        <w:t xml:space="preserve"> </w:t>
      </w:r>
      <w:r>
        <w:rPr>
          <w:rFonts w:cs="Times New Roman" w:ascii="Times New Roman" w:hAnsi="Times New Roman"/>
          <w:color w:val="000009"/>
          <w:spacing w:val="-2"/>
          <w:sz w:val="16"/>
          <w:szCs w:val="16"/>
        </w:rPr>
        <w:t>impresa;</w:t>
      </w:r>
      <w:r>
        <w:rPr>
          <w:rFonts w:cs="Times New Roman" w:ascii="Times New Roman" w:hAnsi="Times New Roman"/>
          <w:sz w:val="16"/>
          <w:szCs w:val="16"/>
        </w:rPr>
        <w:t xml:space="preserve"> b)</w:t>
      </w:r>
      <w:r>
        <w:rPr>
          <w:rFonts w:cs="Times New Roman" w:ascii="Times New Roman" w:hAnsi="Times New Roman"/>
          <w:color w:val="000009"/>
          <w:sz w:val="16"/>
          <w:szCs w:val="16"/>
        </w:rPr>
        <w:t>un’impresa</w:t>
      </w:r>
      <w:r>
        <w:rPr>
          <w:rFonts w:cs="Times New Roman" w:ascii="Times New Roman" w:hAnsi="Times New Roman"/>
          <w:color w:val="000009"/>
          <w:spacing w:val="-2"/>
          <w:sz w:val="16"/>
          <w:szCs w:val="16"/>
        </w:rPr>
        <w:t xml:space="preserve"> </w:t>
      </w:r>
      <w:r>
        <w:rPr>
          <w:rFonts w:cs="Times New Roman" w:ascii="Times New Roman" w:hAnsi="Times New Roman"/>
          <w:color w:val="000009"/>
          <w:sz w:val="16"/>
          <w:szCs w:val="16"/>
        </w:rPr>
        <w:t>ha</w:t>
      </w:r>
      <w:r>
        <w:rPr>
          <w:rFonts w:cs="Times New Roman" w:ascii="Times New Roman" w:hAnsi="Times New Roman"/>
          <w:color w:val="000009"/>
          <w:spacing w:val="-4"/>
          <w:sz w:val="16"/>
          <w:szCs w:val="16"/>
        </w:rPr>
        <w:t xml:space="preserve"> </w:t>
      </w:r>
      <w:r>
        <w:rPr>
          <w:rFonts w:cs="Times New Roman" w:ascii="Times New Roman" w:hAnsi="Times New Roman"/>
          <w:color w:val="000009"/>
          <w:sz w:val="16"/>
          <w:szCs w:val="16"/>
        </w:rPr>
        <w:t>il</w:t>
      </w:r>
      <w:r>
        <w:rPr>
          <w:rFonts w:cs="Times New Roman" w:ascii="Times New Roman" w:hAnsi="Times New Roman"/>
          <w:color w:val="000009"/>
          <w:spacing w:val="-5"/>
          <w:sz w:val="16"/>
          <w:szCs w:val="16"/>
        </w:rPr>
        <w:t xml:space="preserve"> </w:t>
      </w:r>
      <w:r>
        <w:rPr>
          <w:rFonts w:cs="Times New Roman" w:ascii="Times New Roman" w:hAnsi="Times New Roman"/>
          <w:color w:val="000009"/>
          <w:sz w:val="16"/>
          <w:szCs w:val="16"/>
        </w:rPr>
        <w:t>diritto</w:t>
      </w:r>
      <w:r>
        <w:rPr>
          <w:rFonts w:cs="Times New Roman" w:ascii="Times New Roman" w:hAnsi="Times New Roman"/>
          <w:color w:val="000009"/>
          <w:spacing w:val="-1"/>
          <w:sz w:val="16"/>
          <w:szCs w:val="16"/>
        </w:rPr>
        <w:t xml:space="preserve"> </w:t>
      </w:r>
      <w:r>
        <w:rPr>
          <w:rFonts w:cs="Times New Roman" w:ascii="Times New Roman" w:hAnsi="Times New Roman"/>
          <w:color w:val="000009"/>
          <w:sz w:val="16"/>
          <w:szCs w:val="16"/>
        </w:rPr>
        <w:t>di</w:t>
      </w:r>
      <w:r>
        <w:rPr>
          <w:rFonts w:cs="Times New Roman" w:ascii="Times New Roman" w:hAnsi="Times New Roman"/>
          <w:color w:val="000009"/>
          <w:spacing w:val="-5"/>
          <w:sz w:val="16"/>
          <w:szCs w:val="16"/>
        </w:rPr>
        <w:t xml:space="preserve"> </w:t>
      </w:r>
      <w:r>
        <w:rPr>
          <w:rFonts w:cs="Times New Roman" w:ascii="Times New Roman" w:hAnsi="Times New Roman"/>
          <w:color w:val="000009"/>
          <w:sz w:val="16"/>
          <w:szCs w:val="16"/>
        </w:rPr>
        <w:t>nominare</w:t>
      </w:r>
      <w:r>
        <w:rPr>
          <w:rFonts w:cs="Times New Roman" w:ascii="Times New Roman" w:hAnsi="Times New Roman"/>
          <w:color w:val="000009"/>
          <w:spacing w:val="2"/>
          <w:sz w:val="16"/>
          <w:szCs w:val="16"/>
        </w:rPr>
        <w:t xml:space="preserve"> </w:t>
      </w:r>
      <w:r>
        <w:rPr>
          <w:rFonts w:cs="Times New Roman" w:ascii="Times New Roman" w:hAnsi="Times New Roman"/>
          <w:color w:val="000009"/>
          <w:sz w:val="16"/>
          <w:szCs w:val="16"/>
        </w:rPr>
        <w:t>o</w:t>
      </w:r>
      <w:r>
        <w:rPr>
          <w:rFonts w:cs="Times New Roman" w:ascii="Times New Roman" w:hAnsi="Times New Roman"/>
          <w:color w:val="000009"/>
          <w:spacing w:val="-1"/>
          <w:sz w:val="16"/>
          <w:szCs w:val="16"/>
        </w:rPr>
        <w:t xml:space="preserve"> </w:t>
      </w:r>
      <w:r>
        <w:rPr>
          <w:rFonts w:cs="Times New Roman" w:ascii="Times New Roman" w:hAnsi="Times New Roman"/>
          <w:color w:val="000009"/>
          <w:sz w:val="16"/>
          <w:szCs w:val="16"/>
        </w:rPr>
        <w:t>revocare</w:t>
      </w:r>
      <w:r>
        <w:rPr>
          <w:rFonts w:cs="Times New Roman" w:ascii="Times New Roman" w:hAnsi="Times New Roman"/>
          <w:color w:val="000009"/>
          <w:spacing w:val="-3"/>
          <w:sz w:val="16"/>
          <w:szCs w:val="16"/>
        </w:rPr>
        <w:t xml:space="preserve"> </w:t>
      </w:r>
      <w:r>
        <w:rPr>
          <w:rFonts w:cs="Times New Roman" w:ascii="Times New Roman" w:hAnsi="Times New Roman"/>
          <w:color w:val="000009"/>
          <w:sz w:val="16"/>
          <w:szCs w:val="16"/>
        </w:rPr>
        <w:t>la</w:t>
      </w:r>
      <w:r>
        <w:rPr>
          <w:rFonts w:cs="Times New Roman" w:ascii="Times New Roman" w:hAnsi="Times New Roman"/>
          <w:color w:val="000009"/>
          <w:spacing w:val="-2"/>
          <w:sz w:val="16"/>
          <w:szCs w:val="16"/>
        </w:rPr>
        <w:t xml:space="preserve"> </w:t>
      </w:r>
      <w:r>
        <w:rPr>
          <w:rFonts w:cs="Times New Roman" w:ascii="Times New Roman" w:hAnsi="Times New Roman"/>
          <w:color w:val="000009"/>
          <w:sz w:val="16"/>
          <w:szCs w:val="16"/>
        </w:rPr>
        <w:t>maggioranza</w:t>
      </w:r>
      <w:r>
        <w:rPr>
          <w:rFonts w:cs="Times New Roman" w:ascii="Times New Roman" w:hAnsi="Times New Roman"/>
          <w:color w:val="000009"/>
          <w:spacing w:val="-2"/>
          <w:sz w:val="16"/>
          <w:szCs w:val="16"/>
        </w:rPr>
        <w:t xml:space="preserve"> </w:t>
      </w:r>
      <w:r>
        <w:rPr>
          <w:rFonts w:cs="Times New Roman" w:ascii="Times New Roman" w:hAnsi="Times New Roman"/>
          <w:color w:val="000009"/>
          <w:sz w:val="16"/>
          <w:szCs w:val="16"/>
        </w:rPr>
        <w:t>dei</w:t>
      </w:r>
      <w:r>
        <w:rPr>
          <w:rFonts w:cs="Times New Roman" w:ascii="Times New Roman" w:hAnsi="Times New Roman"/>
          <w:color w:val="000009"/>
          <w:spacing w:val="-3"/>
          <w:sz w:val="16"/>
          <w:szCs w:val="16"/>
        </w:rPr>
        <w:t xml:space="preserve"> </w:t>
      </w:r>
      <w:r>
        <w:rPr>
          <w:rFonts w:cs="Times New Roman" w:ascii="Times New Roman" w:hAnsi="Times New Roman"/>
          <w:color w:val="000009"/>
          <w:sz w:val="16"/>
          <w:szCs w:val="16"/>
        </w:rPr>
        <w:t>membri</w:t>
      </w:r>
      <w:r>
        <w:rPr>
          <w:rFonts w:cs="Times New Roman" w:ascii="Times New Roman" w:hAnsi="Times New Roman"/>
          <w:color w:val="000009"/>
          <w:spacing w:val="-3"/>
          <w:sz w:val="16"/>
          <w:szCs w:val="16"/>
        </w:rPr>
        <w:t xml:space="preserve"> </w:t>
      </w:r>
      <w:r>
        <w:rPr>
          <w:rFonts w:cs="Times New Roman" w:ascii="Times New Roman" w:hAnsi="Times New Roman"/>
          <w:color w:val="000009"/>
          <w:sz w:val="16"/>
          <w:szCs w:val="16"/>
        </w:rPr>
        <w:t>del</w:t>
      </w:r>
      <w:r>
        <w:rPr>
          <w:rFonts w:cs="Times New Roman" w:ascii="Times New Roman" w:hAnsi="Times New Roman"/>
          <w:color w:val="000009"/>
          <w:spacing w:val="-2"/>
          <w:sz w:val="16"/>
          <w:szCs w:val="16"/>
        </w:rPr>
        <w:t xml:space="preserve"> </w:t>
      </w:r>
      <w:r>
        <w:rPr>
          <w:rFonts w:cs="Times New Roman" w:ascii="Times New Roman" w:hAnsi="Times New Roman"/>
          <w:color w:val="000009"/>
          <w:sz w:val="16"/>
          <w:szCs w:val="16"/>
        </w:rPr>
        <w:t>consiglio</w:t>
      </w:r>
      <w:r>
        <w:rPr>
          <w:rFonts w:cs="Times New Roman" w:ascii="Times New Roman" w:hAnsi="Times New Roman"/>
          <w:color w:val="000009"/>
          <w:spacing w:val="-2"/>
          <w:sz w:val="16"/>
          <w:szCs w:val="16"/>
        </w:rPr>
        <w:t xml:space="preserve"> </w:t>
      </w:r>
      <w:r>
        <w:rPr>
          <w:rFonts w:cs="Times New Roman" w:ascii="Times New Roman" w:hAnsi="Times New Roman"/>
          <w:color w:val="000009"/>
          <w:sz w:val="16"/>
          <w:szCs w:val="16"/>
        </w:rPr>
        <w:t>di</w:t>
      </w:r>
      <w:r>
        <w:rPr>
          <w:rFonts w:cs="Times New Roman" w:ascii="Times New Roman" w:hAnsi="Times New Roman"/>
          <w:color w:val="000009"/>
          <w:spacing w:val="-3"/>
          <w:sz w:val="16"/>
          <w:szCs w:val="16"/>
        </w:rPr>
        <w:t xml:space="preserve"> </w:t>
      </w:r>
      <w:r>
        <w:rPr>
          <w:rFonts w:cs="Times New Roman" w:ascii="Times New Roman" w:hAnsi="Times New Roman"/>
          <w:color w:val="000009"/>
          <w:sz w:val="16"/>
          <w:szCs w:val="16"/>
        </w:rPr>
        <w:t>amministrazione,</w:t>
      </w:r>
      <w:r>
        <w:rPr>
          <w:rFonts w:cs="Times New Roman" w:ascii="Times New Roman" w:hAnsi="Times New Roman"/>
          <w:color w:val="000009"/>
          <w:spacing w:val="-2"/>
          <w:sz w:val="16"/>
          <w:szCs w:val="16"/>
        </w:rPr>
        <w:t xml:space="preserve"> </w:t>
      </w:r>
      <w:r>
        <w:rPr>
          <w:rFonts w:cs="Times New Roman" w:ascii="Times New Roman" w:hAnsi="Times New Roman"/>
          <w:color w:val="000009"/>
          <w:sz w:val="16"/>
          <w:szCs w:val="16"/>
        </w:rPr>
        <w:t>direzione</w:t>
      </w:r>
      <w:r>
        <w:rPr>
          <w:rFonts w:cs="Times New Roman" w:ascii="Times New Roman" w:hAnsi="Times New Roman"/>
          <w:color w:val="000009"/>
          <w:spacing w:val="-3"/>
          <w:sz w:val="16"/>
          <w:szCs w:val="16"/>
        </w:rPr>
        <w:t xml:space="preserve"> </w:t>
      </w:r>
      <w:r>
        <w:rPr>
          <w:rFonts w:cs="Times New Roman" w:ascii="Times New Roman" w:hAnsi="Times New Roman"/>
          <w:color w:val="000009"/>
          <w:spacing w:val="-10"/>
          <w:sz w:val="16"/>
          <w:szCs w:val="16"/>
        </w:rPr>
        <w:t xml:space="preserve">o </w:t>
      </w:r>
      <w:r>
        <w:rPr>
          <w:rFonts w:cs="Times New Roman" w:ascii="Times New Roman" w:hAnsi="Times New Roman"/>
          <w:color w:val="000009"/>
          <w:sz w:val="16"/>
          <w:szCs w:val="16"/>
        </w:rPr>
        <w:t>sorveglianza</w:t>
      </w:r>
      <w:r>
        <w:rPr>
          <w:rFonts w:cs="Times New Roman" w:ascii="Times New Roman" w:hAnsi="Times New Roman"/>
          <w:color w:val="000009"/>
          <w:spacing w:val="-6"/>
          <w:sz w:val="16"/>
          <w:szCs w:val="16"/>
        </w:rPr>
        <w:t xml:space="preserve"> </w:t>
      </w:r>
      <w:r>
        <w:rPr>
          <w:rFonts w:cs="Times New Roman" w:ascii="Times New Roman" w:hAnsi="Times New Roman"/>
          <w:color w:val="000009"/>
          <w:sz w:val="16"/>
          <w:szCs w:val="16"/>
        </w:rPr>
        <w:t>di</w:t>
      </w:r>
      <w:r>
        <w:rPr>
          <w:rFonts w:cs="Times New Roman" w:ascii="Times New Roman" w:hAnsi="Times New Roman"/>
          <w:color w:val="000009"/>
          <w:spacing w:val="-6"/>
          <w:sz w:val="16"/>
          <w:szCs w:val="16"/>
        </w:rPr>
        <w:t xml:space="preserve"> </w:t>
      </w:r>
      <w:r>
        <w:rPr>
          <w:rFonts w:cs="Times New Roman" w:ascii="Times New Roman" w:hAnsi="Times New Roman"/>
          <w:color w:val="000009"/>
          <w:sz w:val="16"/>
          <w:szCs w:val="16"/>
        </w:rPr>
        <w:t>un’altra</w:t>
      </w:r>
      <w:r>
        <w:rPr>
          <w:rFonts w:cs="Times New Roman" w:ascii="Times New Roman" w:hAnsi="Times New Roman"/>
          <w:color w:val="000009"/>
          <w:spacing w:val="-7"/>
          <w:sz w:val="16"/>
          <w:szCs w:val="16"/>
        </w:rPr>
        <w:t xml:space="preserve"> </w:t>
      </w:r>
      <w:r>
        <w:rPr>
          <w:rFonts w:cs="Times New Roman" w:ascii="Times New Roman" w:hAnsi="Times New Roman"/>
          <w:color w:val="000009"/>
          <w:spacing w:val="-2"/>
          <w:sz w:val="16"/>
          <w:szCs w:val="16"/>
        </w:rPr>
        <w:t xml:space="preserve">impresa; </w:t>
      </w:r>
      <w:r>
        <w:rPr>
          <w:rFonts w:cs="Times New Roman" w:ascii="Times New Roman" w:hAnsi="Times New Roman"/>
          <w:sz w:val="16"/>
          <w:szCs w:val="16"/>
        </w:rPr>
        <w:t xml:space="preserve">c) </w:t>
      </w:r>
      <w:r>
        <w:rPr>
          <w:rFonts w:cs="Times New Roman" w:ascii="Times New Roman" w:hAnsi="Times New Roman"/>
          <w:color w:val="000009"/>
          <w:sz w:val="16"/>
          <w:szCs w:val="16"/>
        </w:rPr>
        <w:t>un’impresa ha il diritto di esercitare un’influenza dominante su un’altra impresa in virtù di un contratto concluso con</w:t>
      </w:r>
      <w:r>
        <w:rPr>
          <w:rFonts w:cs="Times New Roman" w:ascii="Times New Roman" w:hAnsi="Times New Roman"/>
          <w:color w:val="000009"/>
          <w:spacing w:val="40"/>
          <w:sz w:val="16"/>
          <w:szCs w:val="16"/>
        </w:rPr>
        <w:t xml:space="preserve"> </w:t>
      </w:r>
      <w:r>
        <w:rPr>
          <w:rFonts w:cs="Times New Roman" w:ascii="Times New Roman" w:hAnsi="Times New Roman"/>
          <w:color w:val="000009"/>
          <w:sz w:val="16"/>
          <w:szCs w:val="16"/>
        </w:rPr>
        <w:t>quest’ultima oppure in virtù di una clausola dello statuto di quest’ultima; d) ’impresa</w:t>
      </w:r>
      <w:r>
        <w:rPr>
          <w:rFonts w:cs="Times New Roman" w:ascii="Times New Roman" w:hAnsi="Times New Roman"/>
          <w:color w:val="000009"/>
          <w:spacing w:val="-5"/>
          <w:sz w:val="16"/>
          <w:szCs w:val="16"/>
        </w:rPr>
        <w:t xml:space="preserve"> </w:t>
      </w:r>
      <w:r>
        <w:rPr>
          <w:rFonts w:cs="Times New Roman" w:ascii="Times New Roman" w:hAnsi="Times New Roman"/>
          <w:color w:val="000009"/>
          <w:sz w:val="16"/>
          <w:szCs w:val="16"/>
        </w:rPr>
        <w:t>azionista</w:t>
      </w:r>
      <w:r>
        <w:rPr>
          <w:rFonts w:cs="Times New Roman" w:ascii="Times New Roman" w:hAnsi="Times New Roman"/>
          <w:color w:val="000009"/>
          <w:spacing w:val="-5"/>
          <w:sz w:val="16"/>
          <w:szCs w:val="16"/>
        </w:rPr>
        <w:t xml:space="preserve"> </w:t>
      </w:r>
      <w:r>
        <w:rPr>
          <w:rFonts w:cs="Times New Roman" w:ascii="Times New Roman" w:hAnsi="Times New Roman"/>
          <w:color w:val="000009"/>
          <w:sz w:val="16"/>
          <w:szCs w:val="16"/>
        </w:rPr>
        <w:t>o</w:t>
      </w:r>
      <w:r>
        <w:rPr>
          <w:rFonts w:cs="Times New Roman" w:ascii="Times New Roman" w:hAnsi="Times New Roman"/>
          <w:color w:val="000009"/>
          <w:spacing w:val="-5"/>
          <w:sz w:val="16"/>
          <w:szCs w:val="16"/>
        </w:rPr>
        <w:t xml:space="preserve"> </w:t>
      </w:r>
      <w:r>
        <w:rPr>
          <w:rFonts w:cs="Times New Roman" w:ascii="Times New Roman" w:hAnsi="Times New Roman"/>
          <w:color w:val="000009"/>
          <w:sz w:val="16"/>
          <w:szCs w:val="16"/>
        </w:rPr>
        <w:t>socia</w:t>
      </w:r>
      <w:r>
        <w:rPr>
          <w:rFonts w:cs="Times New Roman" w:ascii="Times New Roman" w:hAnsi="Times New Roman"/>
          <w:color w:val="000009"/>
          <w:spacing w:val="-5"/>
          <w:sz w:val="16"/>
          <w:szCs w:val="16"/>
        </w:rPr>
        <w:t xml:space="preserve"> </w:t>
      </w:r>
      <w:r>
        <w:rPr>
          <w:rFonts w:cs="Times New Roman" w:ascii="Times New Roman" w:hAnsi="Times New Roman"/>
          <w:color w:val="000009"/>
          <w:sz w:val="16"/>
          <w:szCs w:val="16"/>
        </w:rPr>
        <w:t>di</w:t>
      </w:r>
      <w:r>
        <w:rPr>
          <w:rFonts w:cs="Times New Roman" w:ascii="Times New Roman" w:hAnsi="Times New Roman"/>
          <w:color w:val="000009"/>
          <w:spacing w:val="-6"/>
          <w:sz w:val="16"/>
          <w:szCs w:val="16"/>
        </w:rPr>
        <w:t xml:space="preserve"> </w:t>
      </w:r>
      <w:r>
        <w:rPr>
          <w:rFonts w:cs="Times New Roman" w:ascii="Times New Roman" w:hAnsi="Times New Roman"/>
          <w:color w:val="000009"/>
          <w:sz w:val="16"/>
          <w:szCs w:val="16"/>
        </w:rPr>
        <w:t>un’altra</w:t>
      </w:r>
      <w:r>
        <w:rPr>
          <w:rFonts w:cs="Times New Roman" w:ascii="Times New Roman" w:hAnsi="Times New Roman"/>
          <w:color w:val="000009"/>
          <w:spacing w:val="-4"/>
          <w:sz w:val="16"/>
          <w:szCs w:val="16"/>
        </w:rPr>
        <w:t xml:space="preserve"> </w:t>
      </w:r>
      <w:r>
        <w:rPr>
          <w:rFonts w:cs="Times New Roman" w:ascii="Times New Roman" w:hAnsi="Times New Roman"/>
          <w:color w:val="000009"/>
          <w:sz w:val="16"/>
          <w:szCs w:val="16"/>
        </w:rPr>
        <w:t>impresa</w:t>
      </w:r>
      <w:r>
        <w:rPr>
          <w:rFonts w:cs="Times New Roman" w:ascii="Times New Roman" w:hAnsi="Times New Roman"/>
          <w:color w:val="000009"/>
          <w:spacing w:val="-5"/>
          <w:sz w:val="16"/>
          <w:szCs w:val="16"/>
        </w:rPr>
        <w:t xml:space="preserve"> </w:t>
      </w:r>
      <w:r>
        <w:rPr>
          <w:rFonts w:cs="Times New Roman" w:ascii="Times New Roman" w:hAnsi="Times New Roman"/>
          <w:color w:val="000009"/>
          <w:sz w:val="16"/>
          <w:szCs w:val="16"/>
        </w:rPr>
        <w:t>controlla</w:t>
      </w:r>
      <w:r>
        <w:rPr>
          <w:rFonts w:cs="Times New Roman" w:ascii="Times New Roman" w:hAnsi="Times New Roman"/>
          <w:color w:val="000009"/>
          <w:spacing w:val="-5"/>
          <w:sz w:val="16"/>
          <w:szCs w:val="16"/>
        </w:rPr>
        <w:t xml:space="preserve"> </w:t>
      </w:r>
      <w:r>
        <w:rPr>
          <w:rFonts w:cs="Times New Roman" w:ascii="Times New Roman" w:hAnsi="Times New Roman"/>
          <w:color w:val="000009"/>
          <w:sz w:val="16"/>
          <w:szCs w:val="16"/>
        </w:rPr>
        <w:t>da</w:t>
      </w:r>
      <w:r>
        <w:rPr>
          <w:rFonts w:cs="Times New Roman" w:ascii="Times New Roman" w:hAnsi="Times New Roman"/>
          <w:color w:val="000009"/>
          <w:spacing w:val="-5"/>
          <w:sz w:val="16"/>
          <w:szCs w:val="16"/>
        </w:rPr>
        <w:t xml:space="preserve"> </w:t>
      </w:r>
      <w:r>
        <w:rPr>
          <w:rFonts w:cs="Times New Roman" w:ascii="Times New Roman" w:hAnsi="Times New Roman"/>
          <w:color w:val="000009"/>
          <w:sz w:val="16"/>
          <w:szCs w:val="16"/>
        </w:rPr>
        <w:t>sola,</w:t>
      </w:r>
      <w:r>
        <w:rPr>
          <w:rFonts w:cs="Times New Roman" w:ascii="Times New Roman" w:hAnsi="Times New Roman"/>
          <w:color w:val="000009"/>
          <w:spacing w:val="-5"/>
          <w:sz w:val="16"/>
          <w:szCs w:val="16"/>
        </w:rPr>
        <w:t xml:space="preserve"> </w:t>
      </w:r>
      <w:r>
        <w:rPr>
          <w:rFonts w:cs="Times New Roman" w:ascii="Times New Roman" w:hAnsi="Times New Roman"/>
          <w:color w:val="000009"/>
          <w:sz w:val="16"/>
          <w:szCs w:val="16"/>
        </w:rPr>
        <w:t>in</w:t>
      </w:r>
      <w:r>
        <w:rPr>
          <w:rFonts w:cs="Times New Roman" w:ascii="Times New Roman" w:hAnsi="Times New Roman"/>
          <w:color w:val="000009"/>
          <w:spacing w:val="-5"/>
          <w:sz w:val="16"/>
          <w:szCs w:val="16"/>
        </w:rPr>
        <w:t xml:space="preserve"> </w:t>
      </w:r>
      <w:r>
        <w:rPr>
          <w:rFonts w:cs="Times New Roman" w:ascii="Times New Roman" w:hAnsi="Times New Roman"/>
          <w:color w:val="000009"/>
          <w:sz w:val="16"/>
          <w:szCs w:val="16"/>
        </w:rPr>
        <w:t>virtù</w:t>
      </w:r>
      <w:r>
        <w:rPr>
          <w:rFonts w:cs="Times New Roman" w:ascii="Times New Roman" w:hAnsi="Times New Roman"/>
          <w:color w:val="000009"/>
          <w:spacing w:val="-5"/>
          <w:sz w:val="16"/>
          <w:szCs w:val="16"/>
        </w:rPr>
        <w:t xml:space="preserve"> </w:t>
      </w:r>
      <w:r>
        <w:rPr>
          <w:rFonts w:cs="Times New Roman" w:ascii="Times New Roman" w:hAnsi="Times New Roman"/>
          <w:color w:val="000009"/>
          <w:sz w:val="16"/>
          <w:szCs w:val="16"/>
        </w:rPr>
        <w:t>di</w:t>
      </w:r>
      <w:r>
        <w:rPr>
          <w:rFonts w:cs="Times New Roman" w:ascii="Times New Roman" w:hAnsi="Times New Roman"/>
          <w:color w:val="000009"/>
          <w:spacing w:val="-6"/>
          <w:sz w:val="16"/>
          <w:szCs w:val="16"/>
        </w:rPr>
        <w:t xml:space="preserve"> </w:t>
      </w:r>
      <w:r>
        <w:rPr>
          <w:rFonts w:cs="Times New Roman" w:ascii="Times New Roman" w:hAnsi="Times New Roman"/>
          <w:color w:val="000009"/>
          <w:sz w:val="16"/>
          <w:szCs w:val="16"/>
        </w:rPr>
        <w:t>un</w:t>
      </w:r>
      <w:r>
        <w:rPr>
          <w:rFonts w:cs="Times New Roman" w:ascii="Times New Roman" w:hAnsi="Times New Roman"/>
          <w:color w:val="000009"/>
          <w:spacing w:val="-5"/>
          <w:sz w:val="16"/>
          <w:szCs w:val="16"/>
        </w:rPr>
        <w:t xml:space="preserve"> </w:t>
      </w:r>
      <w:r>
        <w:rPr>
          <w:rFonts w:cs="Times New Roman" w:ascii="Times New Roman" w:hAnsi="Times New Roman"/>
          <w:color w:val="000009"/>
          <w:sz w:val="16"/>
          <w:szCs w:val="16"/>
        </w:rPr>
        <w:t>accordo</w:t>
      </w:r>
      <w:r>
        <w:rPr>
          <w:rFonts w:cs="Times New Roman" w:ascii="Times New Roman" w:hAnsi="Times New Roman"/>
          <w:color w:val="000009"/>
          <w:spacing w:val="-7"/>
          <w:sz w:val="16"/>
          <w:szCs w:val="16"/>
        </w:rPr>
        <w:t xml:space="preserve"> </w:t>
      </w:r>
      <w:r>
        <w:rPr>
          <w:rFonts w:cs="Times New Roman" w:ascii="Times New Roman" w:hAnsi="Times New Roman"/>
          <w:color w:val="000009"/>
          <w:sz w:val="16"/>
          <w:szCs w:val="16"/>
        </w:rPr>
        <w:t>stipulato</w:t>
      </w:r>
      <w:r>
        <w:rPr>
          <w:rFonts w:cs="Times New Roman" w:ascii="Times New Roman" w:hAnsi="Times New Roman"/>
          <w:color w:val="000009"/>
          <w:spacing w:val="-5"/>
          <w:sz w:val="16"/>
          <w:szCs w:val="16"/>
        </w:rPr>
        <w:t xml:space="preserve"> </w:t>
      </w:r>
      <w:r>
        <w:rPr>
          <w:rFonts w:cs="Times New Roman" w:ascii="Times New Roman" w:hAnsi="Times New Roman"/>
          <w:color w:val="000009"/>
          <w:sz w:val="16"/>
          <w:szCs w:val="16"/>
        </w:rPr>
        <w:t>con</w:t>
      </w:r>
      <w:r>
        <w:rPr>
          <w:rFonts w:cs="Times New Roman" w:ascii="Times New Roman" w:hAnsi="Times New Roman"/>
          <w:color w:val="000009"/>
          <w:spacing w:val="-5"/>
          <w:sz w:val="16"/>
          <w:szCs w:val="16"/>
        </w:rPr>
        <w:t xml:space="preserve"> </w:t>
      </w:r>
      <w:r>
        <w:rPr>
          <w:rFonts w:cs="Times New Roman" w:ascii="Times New Roman" w:hAnsi="Times New Roman"/>
          <w:color w:val="000009"/>
          <w:sz w:val="16"/>
          <w:szCs w:val="16"/>
        </w:rPr>
        <w:t>altri</w:t>
      </w:r>
      <w:r>
        <w:rPr>
          <w:rFonts w:cs="Times New Roman" w:ascii="Times New Roman" w:hAnsi="Times New Roman"/>
          <w:color w:val="000009"/>
          <w:spacing w:val="-5"/>
          <w:sz w:val="16"/>
          <w:szCs w:val="16"/>
        </w:rPr>
        <w:t xml:space="preserve"> </w:t>
      </w:r>
      <w:r>
        <w:rPr>
          <w:rFonts w:cs="Times New Roman" w:ascii="Times New Roman" w:hAnsi="Times New Roman"/>
          <w:color w:val="000009"/>
          <w:sz w:val="16"/>
          <w:szCs w:val="16"/>
        </w:rPr>
        <w:t>azionisti</w:t>
      </w:r>
      <w:r>
        <w:rPr>
          <w:rFonts w:cs="Times New Roman" w:ascii="Times New Roman" w:hAnsi="Times New Roman"/>
          <w:color w:val="000009"/>
          <w:spacing w:val="-5"/>
          <w:sz w:val="16"/>
          <w:szCs w:val="16"/>
        </w:rPr>
        <w:t xml:space="preserve"> </w:t>
      </w:r>
      <w:r>
        <w:rPr>
          <w:rFonts w:cs="Times New Roman" w:ascii="Times New Roman" w:hAnsi="Times New Roman"/>
          <w:color w:val="000009"/>
          <w:sz w:val="16"/>
          <w:szCs w:val="16"/>
        </w:rPr>
        <w:t>o</w:t>
      </w:r>
      <w:r>
        <w:rPr>
          <w:rFonts w:cs="Times New Roman" w:ascii="Times New Roman" w:hAnsi="Times New Roman"/>
          <w:color w:val="000009"/>
          <w:spacing w:val="7"/>
          <w:sz w:val="16"/>
          <w:szCs w:val="16"/>
        </w:rPr>
        <w:t xml:space="preserve"> </w:t>
      </w:r>
      <w:r>
        <w:rPr>
          <w:rFonts w:cs="Times New Roman" w:ascii="Times New Roman" w:hAnsi="Times New Roman"/>
          <w:color w:val="000009"/>
          <w:spacing w:val="-4"/>
          <w:sz w:val="16"/>
          <w:szCs w:val="16"/>
        </w:rPr>
        <w:t xml:space="preserve">soci </w:t>
      </w:r>
      <w:r>
        <w:rPr>
          <w:rFonts w:cs="Times New Roman" w:ascii="Times New Roman" w:hAnsi="Times New Roman"/>
          <w:color w:val="000009"/>
          <w:sz w:val="16"/>
          <w:szCs w:val="16"/>
        </w:rPr>
        <w:t xml:space="preserve"> dell’altra</w:t>
      </w:r>
      <w:r>
        <w:rPr>
          <w:rFonts w:cs="Times New Roman" w:ascii="Times New Roman" w:hAnsi="Times New Roman"/>
          <w:color w:val="000009"/>
          <w:spacing w:val="-5"/>
          <w:sz w:val="16"/>
          <w:szCs w:val="16"/>
        </w:rPr>
        <w:t xml:space="preserve"> </w:t>
      </w:r>
      <w:r>
        <w:rPr>
          <w:rFonts w:cs="Times New Roman" w:ascii="Times New Roman" w:hAnsi="Times New Roman"/>
          <w:color w:val="000009"/>
          <w:sz w:val="16"/>
          <w:szCs w:val="16"/>
        </w:rPr>
        <w:t>impresa,</w:t>
      </w:r>
      <w:r>
        <w:rPr>
          <w:rFonts w:cs="Times New Roman" w:ascii="Times New Roman" w:hAnsi="Times New Roman"/>
          <w:color w:val="000009"/>
          <w:spacing w:val="-4"/>
          <w:sz w:val="16"/>
          <w:szCs w:val="16"/>
        </w:rPr>
        <w:t xml:space="preserve"> </w:t>
      </w:r>
      <w:r>
        <w:rPr>
          <w:rFonts w:cs="Times New Roman" w:ascii="Times New Roman" w:hAnsi="Times New Roman"/>
          <w:color w:val="000009"/>
          <w:sz w:val="16"/>
          <w:szCs w:val="16"/>
        </w:rPr>
        <w:t>la</w:t>
      </w:r>
      <w:r>
        <w:rPr>
          <w:rFonts w:cs="Times New Roman" w:ascii="Times New Roman" w:hAnsi="Times New Roman"/>
          <w:color w:val="000009"/>
          <w:spacing w:val="-4"/>
          <w:sz w:val="16"/>
          <w:szCs w:val="16"/>
        </w:rPr>
        <w:t xml:space="preserve"> </w:t>
      </w:r>
      <w:r>
        <w:rPr>
          <w:rFonts w:cs="Times New Roman" w:ascii="Times New Roman" w:hAnsi="Times New Roman"/>
          <w:color w:val="000009"/>
          <w:sz w:val="16"/>
          <w:szCs w:val="16"/>
        </w:rPr>
        <w:t>maggioranza</w:t>
      </w:r>
      <w:r>
        <w:rPr>
          <w:rFonts w:cs="Times New Roman" w:ascii="Times New Roman" w:hAnsi="Times New Roman"/>
          <w:color w:val="000009"/>
          <w:spacing w:val="-4"/>
          <w:sz w:val="16"/>
          <w:szCs w:val="16"/>
        </w:rPr>
        <w:t xml:space="preserve"> </w:t>
      </w:r>
      <w:r>
        <w:rPr>
          <w:rFonts w:cs="Times New Roman" w:ascii="Times New Roman" w:hAnsi="Times New Roman"/>
          <w:color w:val="000009"/>
          <w:sz w:val="16"/>
          <w:szCs w:val="16"/>
        </w:rPr>
        <w:t>dei</w:t>
      </w:r>
      <w:r>
        <w:rPr>
          <w:rFonts w:cs="Times New Roman" w:ascii="Times New Roman" w:hAnsi="Times New Roman"/>
          <w:color w:val="000009"/>
          <w:spacing w:val="-5"/>
          <w:sz w:val="16"/>
          <w:szCs w:val="16"/>
        </w:rPr>
        <w:t xml:space="preserve"> </w:t>
      </w:r>
      <w:r>
        <w:rPr>
          <w:rFonts w:cs="Times New Roman" w:ascii="Times New Roman" w:hAnsi="Times New Roman"/>
          <w:color w:val="000009"/>
          <w:sz w:val="16"/>
          <w:szCs w:val="16"/>
        </w:rPr>
        <w:t>diritti</w:t>
      </w:r>
      <w:r>
        <w:rPr>
          <w:rFonts w:cs="Times New Roman" w:ascii="Times New Roman" w:hAnsi="Times New Roman"/>
          <w:color w:val="000009"/>
          <w:spacing w:val="-4"/>
          <w:sz w:val="16"/>
          <w:szCs w:val="16"/>
        </w:rPr>
        <w:t xml:space="preserve"> </w:t>
      </w:r>
      <w:r>
        <w:rPr>
          <w:rFonts w:cs="Times New Roman" w:ascii="Times New Roman" w:hAnsi="Times New Roman"/>
          <w:color w:val="000009"/>
          <w:sz w:val="16"/>
          <w:szCs w:val="16"/>
        </w:rPr>
        <w:t>di</w:t>
      </w:r>
      <w:r>
        <w:rPr>
          <w:rFonts w:cs="Times New Roman" w:ascii="Times New Roman" w:hAnsi="Times New Roman"/>
          <w:color w:val="000009"/>
          <w:spacing w:val="-5"/>
          <w:sz w:val="16"/>
          <w:szCs w:val="16"/>
        </w:rPr>
        <w:t xml:space="preserve"> </w:t>
      </w:r>
      <w:r>
        <w:rPr>
          <w:rFonts w:cs="Times New Roman" w:ascii="Times New Roman" w:hAnsi="Times New Roman"/>
          <w:color w:val="000009"/>
          <w:sz w:val="16"/>
          <w:szCs w:val="16"/>
        </w:rPr>
        <w:t>voto</w:t>
      </w:r>
      <w:r>
        <w:rPr>
          <w:rFonts w:cs="Times New Roman" w:ascii="Times New Roman" w:hAnsi="Times New Roman"/>
          <w:color w:val="000009"/>
          <w:spacing w:val="-6"/>
          <w:sz w:val="16"/>
          <w:szCs w:val="16"/>
        </w:rPr>
        <w:t xml:space="preserve"> </w:t>
      </w:r>
      <w:r>
        <w:rPr>
          <w:rFonts w:cs="Times New Roman" w:ascii="Times New Roman" w:hAnsi="Times New Roman"/>
          <w:color w:val="000009"/>
          <w:sz w:val="16"/>
          <w:szCs w:val="16"/>
        </w:rPr>
        <w:t>degli</w:t>
      </w:r>
      <w:r>
        <w:rPr>
          <w:rFonts w:cs="Times New Roman" w:ascii="Times New Roman" w:hAnsi="Times New Roman"/>
          <w:color w:val="000009"/>
          <w:spacing w:val="-5"/>
          <w:sz w:val="16"/>
          <w:szCs w:val="16"/>
        </w:rPr>
        <w:t xml:space="preserve"> </w:t>
      </w:r>
      <w:r>
        <w:rPr>
          <w:rFonts w:cs="Times New Roman" w:ascii="Times New Roman" w:hAnsi="Times New Roman"/>
          <w:color w:val="000009"/>
          <w:sz w:val="16"/>
          <w:szCs w:val="16"/>
        </w:rPr>
        <w:t>azionisti</w:t>
      </w:r>
      <w:r>
        <w:rPr>
          <w:rFonts w:cs="Times New Roman" w:ascii="Times New Roman" w:hAnsi="Times New Roman"/>
          <w:color w:val="000009"/>
          <w:spacing w:val="-4"/>
          <w:sz w:val="16"/>
          <w:szCs w:val="16"/>
        </w:rPr>
        <w:t xml:space="preserve"> </w:t>
      </w:r>
      <w:r>
        <w:rPr>
          <w:rFonts w:cs="Times New Roman" w:ascii="Times New Roman" w:hAnsi="Times New Roman"/>
          <w:color w:val="000009"/>
          <w:sz w:val="16"/>
          <w:szCs w:val="16"/>
        </w:rPr>
        <w:t>o</w:t>
      </w:r>
      <w:r>
        <w:rPr>
          <w:rFonts w:cs="Times New Roman" w:ascii="Times New Roman" w:hAnsi="Times New Roman"/>
          <w:color w:val="000009"/>
          <w:spacing w:val="-4"/>
          <w:sz w:val="16"/>
          <w:szCs w:val="16"/>
        </w:rPr>
        <w:t xml:space="preserve"> </w:t>
      </w:r>
      <w:r>
        <w:rPr>
          <w:rFonts w:cs="Times New Roman" w:ascii="Times New Roman" w:hAnsi="Times New Roman"/>
          <w:color w:val="000009"/>
          <w:sz w:val="16"/>
          <w:szCs w:val="16"/>
        </w:rPr>
        <w:t>soci</w:t>
      </w:r>
      <w:r>
        <w:rPr>
          <w:rFonts w:cs="Times New Roman" w:ascii="Times New Roman" w:hAnsi="Times New Roman"/>
          <w:color w:val="000009"/>
          <w:spacing w:val="-5"/>
          <w:sz w:val="16"/>
          <w:szCs w:val="16"/>
        </w:rPr>
        <w:t xml:space="preserve"> </w:t>
      </w:r>
      <w:r>
        <w:rPr>
          <w:rFonts w:cs="Times New Roman" w:ascii="Times New Roman" w:hAnsi="Times New Roman"/>
          <w:color w:val="000009"/>
          <w:sz w:val="16"/>
          <w:szCs w:val="16"/>
        </w:rPr>
        <w:t>di</w:t>
      </w:r>
      <w:r>
        <w:rPr>
          <w:rFonts w:cs="Times New Roman" w:ascii="Times New Roman" w:hAnsi="Times New Roman"/>
          <w:color w:val="000009"/>
          <w:spacing w:val="-5"/>
          <w:sz w:val="16"/>
          <w:szCs w:val="16"/>
        </w:rPr>
        <w:t xml:space="preserve"> </w:t>
      </w:r>
      <w:r>
        <w:rPr>
          <w:rFonts w:cs="Times New Roman" w:ascii="Times New Roman" w:hAnsi="Times New Roman"/>
          <w:color w:val="000009"/>
          <w:spacing w:val="-2"/>
          <w:sz w:val="16"/>
          <w:szCs w:val="16"/>
        </w:rPr>
        <w:t xml:space="preserve">quest’ultima. </w:t>
      </w:r>
      <w:r>
        <w:rPr>
          <w:rFonts w:cs="Times New Roman" w:ascii="Times New Roman" w:hAnsi="Times New Roman"/>
          <w:color w:val="000009"/>
          <w:sz w:val="16"/>
          <w:szCs w:val="16"/>
        </w:rPr>
        <w:t>Le</w:t>
      </w:r>
      <w:r>
        <w:rPr>
          <w:rFonts w:cs="Times New Roman" w:ascii="Times New Roman" w:hAnsi="Times New Roman"/>
          <w:color w:val="000009"/>
          <w:spacing w:val="-9"/>
          <w:sz w:val="16"/>
          <w:szCs w:val="16"/>
        </w:rPr>
        <w:t xml:space="preserve"> </w:t>
      </w:r>
      <w:r>
        <w:rPr>
          <w:rFonts w:cs="Times New Roman" w:ascii="Times New Roman" w:hAnsi="Times New Roman"/>
          <w:color w:val="000009"/>
          <w:sz w:val="16"/>
          <w:szCs w:val="16"/>
        </w:rPr>
        <w:t>imprese</w:t>
      </w:r>
      <w:r>
        <w:rPr>
          <w:rFonts w:cs="Times New Roman" w:ascii="Times New Roman" w:hAnsi="Times New Roman"/>
          <w:color w:val="000009"/>
          <w:spacing w:val="-9"/>
          <w:sz w:val="16"/>
          <w:szCs w:val="16"/>
        </w:rPr>
        <w:t xml:space="preserve"> </w:t>
      </w:r>
      <w:r>
        <w:rPr>
          <w:rFonts w:cs="Times New Roman" w:ascii="Times New Roman" w:hAnsi="Times New Roman"/>
          <w:color w:val="000009"/>
          <w:sz w:val="16"/>
          <w:szCs w:val="16"/>
        </w:rPr>
        <w:t>fra</w:t>
      </w:r>
      <w:r>
        <w:rPr>
          <w:rFonts w:cs="Times New Roman" w:ascii="Times New Roman" w:hAnsi="Times New Roman"/>
          <w:color w:val="000009"/>
          <w:spacing w:val="-8"/>
          <w:sz w:val="16"/>
          <w:szCs w:val="16"/>
        </w:rPr>
        <w:t xml:space="preserve"> </w:t>
      </w:r>
      <w:r>
        <w:rPr>
          <w:rFonts w:cs="Times New Roman" w:ascii="Times New Roman" w:hAnsi="Times New Roman"/>
          <w:color w:val="000009"/>
          <w:sz w:val="16"/>
          <w:szCs w:val="16"/>
        </w:rPr>
        <w:t>le</w:t>
      </w:r>
      <w:r>
        <w:rPr>
          <w:rFonts w:cs="Times New Roman" w:ascii="Times New Roman" w:hAnsi="Times New Roman"/>
          <w:color w:val="000009"/>
          <w:spacing w:val="-9"/>
          <w:sz w:val="16"/>
          <w:szCs w:val="16"/>
        </w:rPr>
        <w:t xml:space="preserve"> </w:t>
      </w:r>
      <w:r>
        <w:rPr>
          <w:rFonts w:cs="Times New Roman" w:ascii="Times New Roman" w:hAnsi="Times New Roman"/>
          <w:color w:val="000009"/>
          <w:sz w:val="16"/>
          <w:szCs w:val="16"/>
        </w:rPr>
        <w:t>quali</w:t>
      </w:r>
      <w:r>
        <w:rPr>
          <w:rFonts w:cs="Times New Roman" w:ascii="Times New Roman" w:hAnsi="Times New Roman"/>
          <w:color w:val="000009"/>
          <w:spacing w:val="-8"/>
          <w:sz w:val="16"/>
          <w:szCs w:val="16"/>
        </w:rPr>
        <w:t xml:space="preserve"> </w:t>
      </w:r>
      <w:r>
        <w:rPr>
          <w:rFonts w:cs="Times New Roman" w:ascii="Times New Roman" w:hAnsi="Times New Roman"/>
          <w:color w:val="000009"/>
          <w:sz w:val="16"/>
          <w:szCs w:val="16"/>
        </w:rPr>
        <w:t>intercorre</w:t>
      </w:r>
      <w:r>
        <w:rPr>
          <w:rFonts w:cs="Times New Roman" w:ascii="Times New Roman" w:hAnsi="Times New Roman"/>
          <w:color w:val="000009"/>
          <w:spacing w:val="-9"/>
          <w:sz w:val="16"/>
          <w:szCs w:val="16"/>
        </w:rPr>
        <w:t xml:space="preserve"> </w:t>
      </w:r>
      <w:r>
        <w:rPr>
          <w:rFonts w:cs="Times New Roman" w:ascii="Times New Roman" w:hAnsi="Times New Roman"/>
          <w:color w:val="000009"/>
          <w:sz w:val="16"/>
          <w:szCs w:val="16"/>
        </w:rPr>
        <w:t>una</w:t>
      </w:r>
      <w:r>
        <w:rPr>
          <w:rFonts w:cs="Times New Roman" w:ascii="Times New Roman" w:hAnsi="Times New Roman"/>
          <w:color w:val="000009"/>
          <w:spacing w:val="-7"/>
          <w:sz w:val="16"/>
          <w:szCs w:val="16"/>
        </w:rPr>
        <w:t xml:space="preserve"> </w:t>
      </w:r>
      <w:r>
        <w:rPr>
          <w:rFonts w:cs="Times New Roman" w:ascii="Times New Roman" w:hAnsi="Times New Roman"/>
          <w:color w:val="000009"/>
          <w:sz w:val="16"/>
          <w:szCs w:val="16"/>
        </w:rPr>
        <w:t>delle</w:t>
      </w:r>
      <w:r>
        <w:rPr>
          <w:rFonts w:cs="Times New Roman" w:ascii="Times New Roman" w:hAnsi="Times New Roman"/>
          <w:color w:val="000009"/>
          <w:spacing w:val="-9"/>
          <w:sz w:val="16"/>
          <w:szCs w:val="16"/>
        </w:rPr>
        <w:t xml:space="preserve"> </w:t>
      </w:r>
      <w:r>
        <w:rPr>
          <w:rFonts w:cs="Times New Roman" w:ascii="Times New Roman" w:hAnsi="Times New Roman"/>
          <w:color w:val="000009"/>
          <w:sz w:val="16"/>
          <w:szCs w:val="16"/>
        </w:rPr>
        <w:t>relazioni</w:t>
      </w:r>
      <w:r>
        <w:rPr>
          <w:rFonts w:cs="Times New Roman" w:ascii="Times New Roman" w:hAnsi="Times New Roman"/>
          <w:color w:val="000009"/>
          <w:spacing w:val="-9"/>
          <w:sz w:val="16"/>
          <w:szCs w:val="16"/>
        </w:rPr>
        <w:t xml:space="preserve"> </w:t>
      </w:r>
      <w:r>
        <w:rPr>
          <w:rFonts w:cs="Times New Roman" w:ascii="Times New Roman" w:hAnsi="Times New Roman"/>
          <w:color w:val="000009"/>
          <w:sz w:val="16"/>
          <w:szCs w:val="16"/>
        </w:rPr>
        <w:t>di</w:t>
      </w:r>
      <w:r>
        <w:rPr>
          <w:rFonts w:cs="Times New Roman" w:ascii="Times New Roman" w:hAnsi="Times New Roman"/>
          <w:color w:val="000009"/>
          <w:spacing w:val="-8"/>
          <w:sz w:val="16"/>
          <w:szCs w:val="16"/>
        </w:rPr>
        <w:t xml:space="preserve"> </w:t>
      </w:r>
      <w:r>
        <w:rPr>
          <w:rFonts w:cs="Times New Roman" w:ascii="Times New Roman" w:hAnsi="Times New Roman"/>
          <w:color w:val="000009"/>
          <w:sz w:val="16"/>
          <w:szCs w:val="16"/>
        </w:rPr>
        <w:t>cui</w:t>
      </w:r>
      <w:r>
        <w:rPr>
          <w:rFonts w:cs="Times New Roman" w:ascii="Times New Roman" w:hAnsi="Times New Roman"/>
          <w:color w:val="000009"/>
          <w:spacing w:val="-9"/>
          <w:sz w:val="16"/>
          <w:szCs w:val="16"/>
        </w:rPr>
        <w:t xml:space="preserve"> </w:t>
      </w:r>
      <w:r>
        <w:rPr>
          <w:rFonts w:cs="Times New Roman" w:ascii="Times New Roman" w:hAnsi="Times New Roman"/>
          <w:color w:val="000009"/>
          <w:sz w:val="16"/>
          <w:szCs w:val="16"/>
        </w:rPr>
        <w:t>alle</w:t>
      </w:r>
      <w:r>
        <w:rPr>
          <w:rFonts w:cs="Times New Roman" w:ascii="Times New Roman" w:hAnsi="Times New Roman"/>
          <w:color w:val="000009"/>
          <w:spacing w:val="-8"/>
          <w:sz w:val="16"/>
          <w:szCs w:val="16"/>
        </w:rPr>
        <w:t xml:space="preserve"> </w:t>
      </w:r>
      <w:r>
        <w:rPr>
          <w:rFonts w:cs="Times New Roman" w:ascii="Times New Roman" w:hAnsi="Times New Roman"/>
          <w:color w:val="000009"/>
          <w:sz w:val="16"/>
          <w:szCs w:val="16"/>
        </w:rPr>
        <w:t>lettere</w:t>
      </w:r>
      <w:r>
        <w:rPr>
          <w:rFonts w:cs="Times New Roman" w:ascii="Times New Roman" w:hAnsi="Times New Roman"/>
          <w:color w:val="000009"/>
          <w:spacing w:val="-9"/>
          <w:sz w:val="16"/>
          <w:szCs w:val="16"/>
        </w:rPr>
        <w:t xml:space="preserve"> </w:t>
      </w:r>
      <w:r>
        <w:rPr>
          <w:rFonts w:cs="Times New Roman" w:ascii="Times New Roman" w:hAnsi="Times New Roman"/>
          <w:color w:val="000009"/>
          <w:sz w:val="16"/>
          <w:szCs w:val="16"/>
        </w:rPr>
        <w:t>da a) a d), per il tramite di una o più altre imprese sono anch’esse considerate un’impresa unica.</w:t>
      </w:r>
    </w:p>
  </w:footnote>
</w:footnotes>
</file>

<file path=word/header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Intestazione"/>
      <w:ind w:hanging="1080"/>
      <w:rPr/>
    </w:pPr>
    <w:r>
      <w:rPr/>
      <w:drawing>
        <wp:inline distT="0" distB="0" distL="0" distR="0">
          <wp:extent cx="7560310" cy="1016635"/>
          <wp:effectExtent l="0" t="0" r="0" b="0"/>
          <wp:docPr id="5" name="Elemento grafico 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Elemento grafico 1" descr=""/>
                  <pic:cNvPicPr>
                    <a:picLocks noChangeAspect="1" noChangeArrowheads="1"/>
                  </pic:cNvPicPr>
                </pic:nvPicPr>
                <pic:blipFill>
                  <a:blip r:embed="rId1"/>
                  <a:stretch>
                    <a:fillRect/>
                  </a:stretch>
                </pic:blipFill>
                <pic:spPr bwMode="auto">
                  <a:xfrm>
                    <a:off x="0" y="0"/>
                    <a:ext cx="7560310" cy="1016635"/>
                  </a:xfrm>
                  <a:prstGeom prst="rect">
                    <a:avLst/>
                  </a:prstGeom>
                </pic:spPr>
              </pic:pic>
            </a:graphicData>
          </a:graphic>
        </wp:inline>
      </w:drawing>
    </w:r>
  </w:p>
</w:hdr>
</file>

<file path=word/header2.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Intestazione"/>
      <w:ind w:right="-1700" w:hanging="708"/>
      <w:rPr/>
    </w:pPr>
    <w:r>
      <w:rPr/>
      <w:drawing>
        <wp:anchor behindDoc="0" distT="0" distB="0" distL="114300" distR="114300" simplePos="0" locked="0" layoutInCell="0" allowOverlap="1" relativeHeight="2">
          <wp:simplePos x="0" y="0"/>
          <wp:positionH relativeFrom="page">
            <wp:posOffset>0</wp:posOffset>
          </wp:positionH>
          <wp:positionV relativeFrom="paragraph">
            <wp:posOffset>978535</wp:posOffset>
          </wp:positionV>
          <wp:extent cx="7793990" cy="2927985"/>
          <wp:effectExtent l="0" t="0" r="0" b="0"/>
          <wp:wrapTight wrapText="bothSides">
            <wp:wrapPolygon edited="0">
              <wp:start x="-9" y="0"/>
              <wp:lineTo x="-9" y="21518"/>
              <wp:lineTo x="21571" y="21518"/>
              <wp:lineTo x="21571" y="0"/>
              <wp:lineTo x="-9" y="0"/>
            </wp:wrapPolygon>
          </wp:wrapTight>
          <wp:docPr id="6" name="Immagine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magine2" descr=""/>
                  <pic:cNvPicPr>
                    <a:picLocks noChangeAspect="1" noChangeArrowheads="1"/>
                  </pic:cNvPicPr>
                </pic:nvPicPr>
                <pic:blipFill>
                  <a:blip r:embed="rId1"/>
                  <a:stretch>
                    <a:fillRect/>
                  </a:stretch>
                </pic:blipFill>
                <pic:spPr bwMode="auto">
                  <a:xfrm>
                    <a:off x="0" y="0"/>
                    <a:ext cx="7793990" cy="2927985"/>
                  </a:xfrm>
                  <a:prstGeom prst="rect">
                    <a:avLst/>
                  </a:prstGeom>
                </pic:spPr>
              </pic:pic>
            </a:graphicData>
          </a:graphic>
        </wp:anchor>
      </w:drawing>
      <w:drawing>
        <wp:anchor behindDoc="1" distT="0" distB="0" distL="114300" distR="114300" simplePos="0" locked="0" layoutInCell="0" allowOverlap="1" relativeHeight="64">
          <wp:simplePos x="0" y="0"/>
          <wp:positionH relativeFrom="column">
            <wp:posOffset>-685800</wp:posOffset>
          </wp:positionH>
          <wp:positionV relativeFrom="paragraph">
            <wp:posOffset>14605</wp:posOffset>
          </wp:positionV>
          <wp:extent cx="7551420" cy="1014730"/>
          <wp:effectExtent l="0" t="0" r="0" b="0"/>
          <wp:wrapTopAndBottom/>
          <wp:docPr id="7" name="Immagine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magine1" descr=""/>
                  <pic:cNvPicPr>
                    <a:picLocks noChangeAspect="1" noChangeArrowheads="1"/>
                  </pic:cNvPicPr>
                </pic:nvPicPr>
                <pic:blipFill>
                  <a:blip r:embed="rId2"/>
                  <a:stretch>
                    <a:fillRect/>
                  </a:stretch>
                </pic:blipFill>
                <pic:spPr bwMode="auto">
                  <a:xfrm>
                    <a:off x="0" y="0"/>
                    <a:ext cx="7551420" cy="1014730"/>
                  </a:xfrm>
                  <a:prstGeom prst="rect">
                    <a:avLst/>
                  </a:prstGeom>
                </pic:spPr>
              </pic:pic>
            </a:graphicData>
          </a:graphic>
        </wp:anchor>
      </w:drawing>
    </w:r>
  </w:p>
</w:hdr>
</file>

<file path=word/numbering.xml><?xml version="1.0" encoding="utf-8"?>
<w:numbering xmlns:w="http://schemas.openxmlformats.org/wordprocessingml/2006/main" xmlns:o="urn:schemas-microsoft-com:office:office" xmlns:r="http://schemas.openxmlformats.org/officeDocument/2006/relationships" xmlns:v="urn:schemas-microsoft-com:vml" xmlns:mc="http://schemas.openxmlformats.org/markup-compatibility/2006" xmlns:w14="http://schemas.microsoft.com/office/word/2010/wordml" mc:Ignorable="w14">
  <w:abstractNum w:abstractNumId="1">
    <w:lvl w:ilvl="0">
      <w:start w:val="1"/>
      <w:numFmt w:val="decimal"/>
      <w:lvlText w:val="%1."/>
      <w:lvlJc w:val="left"/>
      <w:pPr>
        <w:tabs>
          <w:tab w:val="num" w:pos="0"/>
        </w:tabs>
        <w:ind w:left="361" w:hanging="361"/>
      </w:pPr>
      <w:rPr>
        <w:sz w:val="28"/>
        <w:spacing w:val="0"/>
        <w:i w:val="false"/>
        <w:b/>
        <w:szCs w:val="28"/>
        <w:iCs w:val="false"/>
        <w:bCs/>
        <w:w w:val="100"/>
        <w:color w:val="000009"/>
        <w:lang w:val="it-IT" w:eastAsia="en-US" w:bidi="ar-SA"/>
      </w:rPr>
    </w:lvl>
    <w:lvl w:ilvl="1">
      <w:start w:val="1"/>
      <w:numFmt w:val="lowerLetter"/>
      <w:lvlText w:val="%2)"/>
      <w:lvlJc w:val="left"/>
      <w:pPr>
        <w:tabs>
          <w:tab w:val="num" w:pos="0"/>
        </w:tabs>
        <w:ind w:left="850" w:hanging="425"/>
      </w:pPr>
      <w:rPr>
        <w:sz w:val="20"/>
        <w:spacing w:val="0"/>
        <w:i w:val="false"/>
        <w:b w:val="false"/>
        <w:szCs w:val="20"/>
        <w:iCs w:val="false"/>
        <w:bCs w:val="false"/>
        <w:w w:val="100"/>
        <w:rFonts w:ascii="Times New Roman" w:hAnsi="Times New Roman" w:eastAsia="Calibri" w:cs="Times New Roman"/>
        <w:lang w:val="it-IT" w:eastAsia="en-US" w:bidi="ar-SA"/>
      </w:rPr>
    </w:lvl>
    <w:lvl w:ilvl="2">
      <w:start w:val="0"/>
      <w:numFmt w:val="bullet"/>
      <w:lvlText w:val=""/>
      <w:lvlJc w:val="left"/>
      <w:pPr>
        <w:tabs>
          <w:tab w:val="num" w:pos="0"/>
        </w:tabs>
        <w:ind w:left="1743" w:hanging="425"/>
      </w:pPr>
      <w:rPr>
        <w:rFonts w:ascii="Symbol" w:hAnsi="Symbol" w:cs="Symbol" w:hint="default"/>
        <w:lang w:val="it-IT" w:eastAsia="en-US" w:bidi="ar-SA"/>
      </w:rPr>
    </w:lvl>
    <w:lvl w:ilvl="3">
      <w:start w:val="0"/>
      <w:numFmt w:val="bullet"/>
      <w:lvlText w:val=""/>
      <w:lvlJc w:val="left"/>
      <w:pPr>
        <w:tabs>
          <w:tab w:val="num" w:pos="0"/>
        </w:tabs>
        <w:ind w:left="2779" w:hanging="425"/>
      </w:pPr>
      <w:rPr>
        <w:rFonts w:ascii="Symbol" w:hAnsi="Symbol" w:cs="Symbol" w:hint="default"/>
        <w:lang w:val="it-IT" w:eastAsia="en-US" w:bidi="ar-SA"/>
      </w:rPr>
    </w:lvl>
    <w:lvl w:ilvl="4">
      <w:start w:val="0"/>
      <w:numFmt w:val="bullet"/>
      <w:lvlText w:val=""/>
      <w:lvlJc w:val="left"/>
      <w:pPr>
        <w:tabs>
          <w:tab w:val="num" w:pos="0"/>
        </w:tabs>
        <w:ind w:left="3814" w:hanging="425"/>
      </w:pPr>
      <w:rPr>
        <w:rFonts w:ascii="Symbol" w:hAnsi="Symbol" w:cs="Symbol" w:hint="default"/>
        <w:lang w:val="it-IT" w:eastAsia="en-US" w:bidi="ar-SA"/>
      </w:rPr>
    </w:lvl>
    <w:lvl w:ilvl="5">
      <w:start w:val="0"/>
      <w:numFmt w:val="bullet"/>
      <w:lvlText w:val=""/>
      <w:lvlJc w:val="left"/>
      <w:pPr>
        <w:tabs>
          <w:tab w:val="num" w:pos="0"/>
        </w:tabs>
        <w:ind w:left="4850" w:hanging="425"/>
      </w:pPr>
      <w:rPr>
        <w:rFonts w:ascii="Symbol" w:hAnsi="Symbol" w:cs="Symbol" w:hint="default"/>
        <w:lang w:val="it-IT" w:eastAsia="en-US" w:bidi="ar-SA"/>
      </w:rPr>
    </w:lvl>
    <w:lvl w:ilvl="6">
      <w:start w:val="0"/>
      <w:numFmt w:val="bullet"/>
      <w:lvlText w:val=""/>
      <w:lvlJc w:val="left"/>
      <w:pPr>
        <w:tabs>
          <w:tab w:val="num" w:pos="0"/>
        </w:tabs>
        <w:ind w:left="5885" w:hanging="425"/>
      </w:pPr>
      <w:rPr>
        <w:rFonts w:ascii="Symbol" w:hAnsi="Symbol" w:cs="Symbol" w:hint="default"/>
        <w:lang w:val="it-IT" w:eastAsia="en-US" w:bidi="ar-SA"/>
      </w:rPr>
    </w:lvl>
    <w:lvl w:ilvl="7">
      <w:start w:val="0"/>
      <w:numFmt w:val="bullet"/>
      <w:lvlText w:val=""/>
      <w:lvlJc w:val="left"/>
      <w:pPr>
        <w:tabs>
          <w:tab w:val="num" w:pos="0"/>
        </w:tabs>
        <w:ind w:left="6921" w:hanging="425"/>
      </w:pPr>
      <w:rPr>
        <w:rFonts w:ascii="Symbol" w:hAnsi="Symbol" w:cs="Symbol" w:hint="default"/>
        <w:lang w:val="it-IT" w:eastAsia="en-US" w:bidi="ar-SA"/>
      </w:rPr>
    </w:lvl>
    <w:lvl w:ilvl="8">
      <w:start w:val="0"/>
      <w:numFmt w:val="bullet"/>
      <w:lvlText w:val=""/>
      <w:lvlJc w:val="left"/>
      <w:pPr>
        <w:tabs>
          <w:tab w:val="num" w:pos="0"/>
        </w:tabs>
        <w:ind w:left="7956" w:hanging="425"/>
      </w:pPr>
      <w:rPr>
        <w:rFonts w:ascii="Symbol" w:hAnsi="Symbol" w:cs="Symbol" w:hint="default"/>
        <w:lang w:val="it-IT" w:eastAsia="en-US" w:bidi="ar-SA"/>
      </w:rPr>
    </w:lvl>
  </w:abstractNum>
  <w:abstractNum w:abstractNumId="2">
    <w:lvl w:ilvl="0">
      <w:start w:val="1"/>
      <w:numFmt w:val="decimal"/>
      <w:lvlText w:val="%1."/>
      <w:lvlJc w:val="left"/>
      <w:pPr>
        <w:tabs>
          <w:tab w:val="num" w:pos="0"/>
        </w:tabs>
        <w:ind w:left="5863" w:hanging="567"/>
      </w:pPr>
      <w:rPr>
        <w:spacing w:val="-1"/>
        <w:w w:val="100"/>
        <w:lang w:val="it-IT" w:eastAsia="en-US" w:bidi="ar-SA"/>
      </w:rPr>
    </w:lvl>
    <w:lvl w:ilvl="1">
      <w:start w:val="1"/>
      <w:numFmt w:val="decimal"/>
      <w:lvlText w:val="%1.%2"/>
      <w:lvlJc w:val="left"/>
      <w:pPr>
        <w:tabs>
          <w:tab w:val="num" w:pos="0"/>
        </w:tabs>
        <w:ind w:left="5863" w:hanging="567"/>
      </w:pPr>
      <w:rPr>
        <w:sz w:val="22"/>
        <w:spacing w:val="0"/>
        <w:i w:val="false"/>
        <w:b/>
        <w:szCs w:val="22"/>
        <w:iCs w:val="false"/>
        <w:bCs/>
        <w:w w:val="100"/>
        <w:rFonts w:ascii="Times New Roman" w:hAnsi="Times New Roman" w:eastAsia="Calibri" w:cs="Times New Roman"/>
        <w:color w:val="auto"/>
        <w:lang w:val="it-IT" w:eastAsia="en-US" w:bidi="ar-SA"/>
      </w:rPr>
    </w:lvl>
    <w:lvl w:ilvl="2">
      <w:start w:val="0"/>
      <w:numFmt w:val="bullet"/>
      <w:lvlText w:val=""/>
      <w:lvlJc w:val="left"/>
      <w:pPr>
        <w:tabs>
          <w:tab w:val="num" w:pos="0"/>
        </w:tabs>
        <w:ind w:left="7756" w:hanging="567"/>
      </w:pPr>
      <w:rPr>
        <w:rFonts w:ascii="Symbol" w:hAnsi="Symbol" w:cs="Symbol" w:hint="default"/>
        <w:lang w:val="it-IT" w:eastAsia="en-US" w:bidi="ar-SA"/>
      </w:rPr>
    </w:lvl>
    <w:lvl w:ilvl="3">
      <w:start w:val="0"/>
      <w:numFmt w:val="bullet"/>
      <w:lvlText w:val=""/>
      <w:lvlJc w:val="left"/>
      <w:pPr>
        <w:tabs>
          <w:tab w:val="num" w:pos="0"/>
        </w:tabs>
        <w:ind w:left="8702" w:hanging="567"/>
      </w:pPr>
      <w:rPr>
        <w:rFonts w:ascii="Symbol" w:hAnsi="Symbol" w:cs="Symbol" w:hint="default"/>
        <w:lang w:val="it-IT" w:eastAsia="en-US" w:bidi="ar-SA"/>
      </w:rPr>
    </w:lvl>
    <w:lvl w:ilvl="4">
      <w:start w:val="0"/>
      <w:numFmt w:val="bullet"/>
      <w:lvlText w:val=""/>
      <w:lvlJc w:val="left"/>
      <w:pPr>
        <w:tabs>
          <w:tab w:val="num" w:pos="0"/>
        </w:tabs>
        <w:ind w:left="9648" w:hanging="567"/>
      </w:pPr>
      <w:rPr>
        <w:rFonts w:ascii="Symbol" w:hAnsi="Symbol" w:cs="Symbol" w:hint="default"/>
        <w:lang w:val="it-IT" w:eastAsia="en-US" w:bidi="ar-SA"/>
      </w:rPr>
    </w:lvl>
    <w:lvl w:ilvl="5">
      <w:start w:val="0"/>
      <w:numFmt w:val="bullet"/>
      <w:lvlText w:val=""/>
      <w:lvlJc w:val="left"/>
      <w:pPr>
        <w:tabs>
          <w:tab w:val="num" w:pos="0"/>
        </w:tabs>
        <w:ind w:left="10594" w:hanging="567"/>
      </w:pPr>
      <w:rPr>
        <w:rFonts w:ascii="Symbol" w:hAnsi="Symbol" w:cs="Symbol" w:hint="default"/>
        <w:lang w:val="it-IT" w:eastAsia="en-US" w:bidi="ar-SA"/>
      </w:rPr>
    </w:lvl>
    <w:lvl w:ilvl="6">
      <w:start w:val="0"/>
      <w:numFmt w:val="bullet"/>
      <w:lvlText w:val=""/>
      <w:lvlJc w:val="left"/>
      <w:pPr>
        <w:tabs>
          <w:tab w:val="num" w:pos="0"/>
        </w:tabs>
        <w:ind w:left="11540" w:hanging="567"/>
      </w:pPr>
      <w:rPr>
        <w:rFonts w:ascii="Symbol" w:hAnsi="Symbol" w:cs="Symbol" w:hint="default"/>
        <w:lang w:val="it-IT" w:eastAsia="en-US" w:bidi="ar-SA"/>
      </w:rPr>
    </w:lvl>
    <w:lvl w:ilvl="7">
      <w:start w:val="0"/>
      <w:numFmt w:val="bullet"/>
      <w:lvlText w:val=""/>
      <w:lvlJc w:val="left"/>
      <w:pPr>
        <w:tabs>
          <w:tab w:val="num" w:pos="0"/>
        </w:tabs>
        <w:ind w:left="12486" w:hanging="567"/>
      </w:pPr>
      <w:rPr>
        <w:rFonts w:ascii="Symbol" w:hAnsi="Symbol" w:cs="Symbol" w:hint="default"/>
        <w:lang w:val="it-IT" w:eastAsia="en-US" w:bidi="ar-SA"/>
      </w:rPr>
    </w:lvl>
    <w:lvl w:ilvl="8">
      <w:start w:val="0"/>
      <w:numFmt w:val="bullet"/>
      <w:lvlText w:val=""/>
      <w:lvlJc w:val="left"/>
      <w:pPr>
        <w:tabs>
          <w:tab w:val="num" w:pos="0"/>
        </w:tabs>
        <w:ind w:left="13432" w:hanging="567"/>
      </w:pPr>
      <w:rPr>
        <w:rFonts w:ascii="Symbol" w:hAnsi="Symbol" w:cs="Symbol" w:hint="default"/>
        <w:lang w:val="it-IT" w:eastAsia="en-US" w:bidi="ar-SA"/>
      </w:rPr>
    </w:lvl>
  </w:abstractNum>
  <w:abstractNum w:abstractNumId="3">
    <w:lvl w:ilvl="0">
      <w:start w:val="5"/>
      <w:numFmt w:val="decimal"/>
      <w:lvlText w:val="%1"/>
      <w:lvlJc w:val="left"/>
      <w:pPr>
        <w:tabs>
          <w:tab w:val="num" w:pos="0"/>
        </w:tabs>
        <w:ind w:left="360" w:hanging="360"/>
      </w:pPr>
      <w:rPr/>
    </w:lvl>
    <w:lvl w:ilvl="1">
      <w:start w:val="1"/>
      <w:numFmt w:val="decimal"/>
      <w:lvlText w:val="%1.%2"/>
      <w:lvlJc w:val="left"/>
      <w:pPr>
        <w:tabs>
          <w:tab w:val="num" w:pos="0"/>
        </w:tabs>
        <w:ind w:left="360" w:hanging="360"/>
      </w:pPr>
      <w:rPr/>
    </w:lvl>
    <w:lvl w:ilvl="2">
      <w:start w:val="1"/>
      <w:numFmt w:val="decimal"/>
      <w:lvlText w:val="%1.%2.%3"/>
      <w:lvlJc w:val="left"/>
      <w:pPr>
        <w:tabs>
          <w:tab w:val="num" w:pos="0"/>
        </w:tabs>
        <w:ind w:left="720" w:hanging="720"/>
      </w:pPr>
      <w:rPr/>
    </w:lvl>
    <w:lvl w:ilvl="3">
      <w:start w:val="1"/>
      <w:numFmt w:val="decimal"/>
      <w:lvlText w:val="%1.%2.%3.%4"/>
      <w:lvlJc w:val="left"/>
      <w:pPr>
        <w:tabs>
          <w:tab w:val="num" w:pos="0"/>
        </w:tabs>
        <w:ind w:left="720" w:hanging="720"/>
      </w:pPr>
      <w:rPr/>
    </w:lvl>
    <w:lvl w:ilvl="4">
      <w:start w:val="1"/>
      <w:numFmt w:val="decimal"/>
      <w:lvlText w:val="%1.%2.%3.%4.%5"/>
      <w:lvlJc w:val="left"/>
      <w:pPr>
        <w:tabs>
          <w:tab w:val="num" w:pos="0"/>
        </w:tabs>
        <w:ind w:left="1080" w:hanging="1080"/>
      </w:pPr>
      <w:rPr/>
    </w:lvl>
    <w:lvl w:ilvl="5">
      <w:start w:val="1"/>
      <w:numFmt w:val="decimal"/>
      <w:lvlText w:val="%1.%2.%3.%4.%5.%6"/>
      <w:lvlJc w:val="left"/>
      <w:pPr>
        <w:tabs>
          <w:tab w:val="num" w:pos="0"/>
        </w:tabs>
        <w:ind w:left="1080" w:hanging="1080"/>
      </w:pPr>
      <w:rPr/>
    </w:lvl>
    <w:lvl w:ilvl="6">
      <w:start w:val="1"/>
      <w:numFmt w:val="decimal"/>
      <w:lvlText w:val="%1.%2.%3.%4.%5.%6.%7"/>
      <w:lvlJc w:val="left"/>
      <w:pPr>
        <w:tabs>
          <w:tab w:val="num" w:pos="0"/>
        </w:tabs>
        <w:ind w:left="1440" w:hanging="1440"/>
      </w:pPr>
      <w:rPr/>
    </w:lvl>
    <w:lvl w:ilvl="7">
      <w:start w:val="1"/>
      <w:numFmt w:val="decimal"/>
      <w:lvlText w:val="%1.%2.%3.%4.%5.%6.%7.%8"/>
      <w:lvlJc w:val="left"/>
      <w:pPr>
        <w:tabs>
          <w:tab w:val="num" w:pos="0"/>
        </w:tabs>
        <w:ind w:left="1440" w:hanging="1440"/>
      </w:pPr>
      <w:rPr/>
    </w:lvl>
    <w:lvl w:ilvl="8">
      <w:start w:val="1"/>
      <w:numFmt w:val="decimal"/>
      <w:lvlText w:val="%1.%2.%3.%4.%5.%6.%7.%8.%9"/>
      <w:lvlJc w:val="left"/>
      <w:pPr>
        <w:tabs>
          <w:tab w:val="num" w:pos="0"/>
        </w:tabs>
        <w:ind w:left="1440" w:hanging="1440"/>
      </w:pPr>
      <w:rPr/>
    </w:lvl>
  </w:abstractNum>
  <w:abstractNum w:abstractNumId="4">
    <w:lvl w:ilvl="0">
      <w:start w:val="4"/>
      <w:numFmt w:val="decimal"/>
      <w:lvlText w:val="%1"/>
      <w:lvlJc w:val="left"/>
      <w:pPr>
        <w:tabs>
          <w:tab w:val="num" w:pos="0"/>
        </w:tabs>
        <w:ind w:left="420" w:hanging="420"/>
      </w:pPr>
      <w:rPr/>
    </w:lvl>
    <w:lvl w:ilvl="1">
      <w:start w:val="13"/>
      <w:numFmt w:val="decimal"/>
      <w:lvlText w:val="%1.%2"/>
      <w:lvlJc w:val="left"/>
      <w:pPr>
        <w:tabs>
          <w:tab w:val="num" w:pos="0"/>
        </w:tabs>
        <w:ind w:left="704" w:hanging="420"/>
      </w:pPr>
      <w:rPr>
        <w:sz w:val="22"/>
        <w:b/>
        <w:szCs w:val="22"/>
        <w:bCs/>
        <w:color w:val="auto"/>
      </w:rPr>
    </w:lvl>
    <w:lvl w:ilvl="2">
      <w:start w:val="1"/>
      <w:numFmt w:val="decimal"/>
      <w:lvlText w:val="%1.%2.%3"/>
      <w:lvlJc w:val="left"/>
      <w:pPr>
        <w:tabs>
          <w:tab w:val="num" w:pos="0"/>
        </w:tabs>
        <w:ind w:left="1854" w:hanging="720"/>
      </w:pPr>
      <w:rPr/>
    </w:lvl>
    <w:lvl w:ilvl="3">
      <w:start w:val="1"/>
      <w:numFmt w:val="decimal"/>
      <w:lvlText w:val="%1.%2.%3.%4"/>
      <w:lvlJc w:val="left"/>
      <w:pPr>
        <w:tabs>
          <w:tab w:val="num" w:pos="0"/>
        </w:tabs>
        <w:ind w:left="2421" w:hanging="720"/>
      </w:pPr>
      <w:rPr/>
    </w:lvl>
    <w:lvl w:ilvl="4">
      <w:start w:val="1"/>
      <w:numFmt w:val="decimal"/>
      <w:lvlText w:val="%1.%2.%3.%4.%5"/>
      <w:lvlJc w:val="left"/>
      <w:pPr>
        <w:tabs>
          <w:tab w:val="num" w:pos="0"/>
        </w:tabs>
        <w:ind w:left="3348" w:hanging="1080"/>
      </w:pPr>
      <w:rPr/>
    </w:lvl>
    <w:lvl w:ilvl="5">
      <w:start w:val="1"/>
      <w:numFmt w:val="decimal"/>
      <w:lvlText w:val="%1.%2.%3.%4.%5.%6"/>
      <w:lvlJc w:val="left"/>
      <w:pPr>
        <w:tabs>
          <w:tab w:val="num" w:pos="0"/>
        </w:tabs>
        <w:ind w:left="3915" w:hanging="1080"/>
      </w:pPr>
      <w:rPr/>
    </w:lvl>
    <w:lvl w:ilvl="6">
      <w:start w:val="1"/>
      <w:numFmt w:val="decimal"/>
      <w:lvlText w:val="%1.%2.%3.%4.%5.%6.%7"/>
      <w:lvlJc w:val="left"/>
      <w:pPr>
        <w:tabs>
          <w:tab w:val="num" w:pos="0"/>
        </w:tabs>
        <w:ind w:left="4842" w:hanging="1440"/>
      </w:pPr>
      <w:rPr/>
    </w:lvl>
    <w:lvl w:ilvl="7">
      <w:start w:val="1"/>
      <w:numFmt w:val="decimal"/>
      <w:lvlText w:val="%1.%2.%3.%4.%5.%6.%7.%8"/>
      <w:lvlJc w:val="left"/>
      <w:pPr>
        <w:tabs>
          <w:tab w:val="num" w:pos="0"/>
        </w:tabs>
        <w:ind w:left="5409" w:hanging="1440"/>
      </w:pPr>
      <w:rPr/>
    </w:lvl>
    <w:lvl w:ilvl="8">
      <w:start w:val="1"/>
      <w:numFmt w:val="decimal"/>
      <w:lvlText w:val="%1.%2.%3.%4.%5.%6.%7.%8.%9"/>
      <w:lvlJc w:val="left"/>
      <w:pPr>
        <w:tabs>
          <w:tab w:val="num" w:pos="0"/>
        </w:tabs>
        <w:ind w:left="5976" w:hanging="1440"/>
      </w:pPr>
      <w:rPr/>
    </w:lvl>
  </w:abstractNum>
  <w:abstractNum w:abstractNumId="5">
    <w:lvl w:ilvl="0">
      <w:start w:val="3"/>
      <w:numFmt w:val="decimal"/>
      <w:lvlText w:val="%1"/>
      <w:lvlJc w:val="left"/>
      <w:pPr>
        <w:tabs>
          <w:tab w:val="num" w:pos="0"/>
        </w:tabs>
        <w:ind w:left="360" w:hanging="360"/>
      </w:pPr>
      <w:rPr/>
    </w:lvl>
    <w:lvl w:ilvl="1">
      <w:start w:val="3"/>
      <w:numFmt w:val="decimal"/>
      <w:lvlText w:val="%1.%2"/>
      <w:lvlJc w:val="left"/>
      <w:pPr>
        <w:tabs>
          <w:tab w:val="num" w:pos="0"/>
        </w:tabs>
        <w:ind w:left="360" w:hanging="360"/>
      </w:pPr>
      <w:rPr/>
    </w:lvl>
    <w:lvl w:ilvl="2">
      <w:start w:val="1"/>
      <w:numFmt w:val="decimal"/>
      <w:lvlText w:val="%1.%2.%3"/>
      <w:lvlJc w:val="left"/>
      <w:pPr>
        <w:tabs>
          <w:tab w:val="num" w:pos="0"/>
        </w:tabs>
        <w:ind w:left="360" w:hanging="360"/>
      </w:pPr>
      <w:rPr/>
    </w:lvl>
    <w:lvl w:ilvl="3">
      <w:start w:val="1"/>
      <w:numFmt w:val="decimal"/>
      <w:lvlText w:val="%1.%2.%3.%4"/>
      <w:lvlJc w:val="left"/>
      <w:pPr>
        <w:tabs>
          <w:tab w:val="num" w:pos="0"/>
        </w:tabs>
        <w:ind w:left="720" w:hanging="720"/>
      </w:pPr>
      <w:rPr/>
    </w:lvl>
    <w:lvl w:ilvl="4">
      <w:start w:val="1"/>
      <w:numFmt w:val="decimal"/>
      <w:lvlText w:val="%1.%2.%3.%4.%5"/>
      <w:lvlJc w:val="left"/>
      <w:pPr>
        <w:tabs>
          <w:tab w:val="num" w:pos="0"/>
        </w:tabs>
        <w:ind w:left="720" w:hanging="720"/>
      </w:pPr>
      <w:rPr/>
    </w:lvl>
    <w:lvl w:ilvl="5">
      <w:start w:val="1"/>
      <w:numFmt w:val="decimal"/>
      <w:lvlText w:val="%1.%2.%3.%4.%5.%6"/>
      <w:lvlJc w:val="left"/>
      <w:pPr>
        <w:tabs>
          <w:tab w:val="num" w:pos="0"/>
        </w:tabs>
        <w:ind w:left="1080" w:hanging="1080"/>
      </w:pPr>
      <w:rPr/>
    </w:lvl>
    <w:lvl w:ilvl="6">
      <w:start w:val="1"/>
      <w:numFmt w:val="decimal"/>
      <w:lvlText w:val="%1.%2.%3.%4.%5.%6.%7"/>
      <w:lvlJc w:val="left"/>
      <w:pPr>
        <w:tabs>
          <w:tab w:val="num" w:pos="0"/>
        </w:tabs>
        <w:ind w:left="1080" w:hanging="1080"/>
      </w:pPr>
      <w:rPr/>
    </w:lvl>
    <w:lvl w:ilvl="7">
      <w:start w:val="1"/>
      <w:numFmt w:val="decimal"/>
      <w:lvlText w:val="%1.%2.%3.%4.%5.%6.%7.%8"/>
      <w:lvlJc w:val="left"/>
      <w:pPr>
        <w:tabs>
          <w:tab w:val="num" w:pos="0"/>
        </w:tabs>
        <w:ind w:left="1080" w:hanging="1080"/>
      </w:pPr>
      <w:rPr/>
    </w:lvl>
    <w:lvl w:ilvl="8">
      <w:start w:val="1"/>
      <w:numFmt w:val="decimal"/>
      <w:lvlText w:val="%1.%2.%3.%4.%5.%6.%7.%8.%9"/>
      <w:lvlJc w:val="left"/>
      <w:pPr>
        <w:tabs>
          <w:tab w:val="num" w:pos="0"/>
        </w:tabs>
        <w:ind w:left="1440" w:hanging="1440"/>
      </w:pPr>
      <w:rPr/>
    </w:lvl>
  </w:abstractNum>
  <w:abstractNum w:abstractNumId="6">
    <w:lvl w:ilvl="0">
      <w:start w:val="1"/>
      <w:numFmt w:val="decimal"/>
      <w:lvlText w:val="%1."/>
      <w:lvlJc w:val="left"/>
      <w:pPr>
        <w:tabs>
          <w:tab w:val="num" w:pos="0"/>
        </w:tabs>
        <w:ind w:left="360" w:hanging="360"/>
      </w:pPr>
      <w:rPr/>
    </w:lvl>
    <w:lvl w:ilvl="1">
      <w:start w:val="1"/>
      <w:numFmt w:val="lowerLetter"/>
      <w:lvlText w:val="%2."/>
      <w:lvlJc w:val="left"/>
      <w:pPr>
        <w:tabs>
          <w:tab w:val="num" w:pos="0"/>
        </w:tabs>
        <w:ind w:left="1080" w:hanging="360"/>
      </w:pPr>
      <w:rPr/>
    </w:lvl>
    <w:lvl w:ilvl="2">
      <w:start w:val="1"/>
      <w:numFmt w:val="lowerRoman"/>
      <w:lvlText w:val="%3."/>
      <w:lvlJc w:val="right"/>
      <w:pPr>
        <w:tabs>
          <w:tab w:val="num" w:pos="0"/>
        </w:tabs>
        <w:ind w:left="1800" w:hanging="180"/>
      </w:pPr>
      <w:rPr/>
    </w:lvl>
    <w:lvl w:ilvl="3">
      <w:start w:val="1"/>
      <w:numFmt w:val="decimal"/>
      <w:lvlText w:val="%4."/>
      <w:lvlJc w:val="left"/>
      <w:pPr>
        <w:tabs>
          <w:tab w:val="num" w:pos="0"/>
        </w:tabs>
        <w:ind w:left="2520" w:hanging="360"/>
      </w:pPr>
      <w:rPr/>
    </w:lvl>
    <w:lvl w:ilvl="4">
      <w:start w:val="1"/>
      <w:numFmt w:val="lowerLetter"/>
      <w:lvlText w:val="%5."/>
      <w:lvlJc w:val="left"/>
      <w:pPr>
        <w:tabs>
          <w:tab w:val="num" w:pos="0"/>
        </w:tabs>
        <w:ind w:left="3240" w:hanging="360"/>
      </w:pPr>
      <w:rPr/>
    </w:lvl>
    <w:lvl w:ilvl="5">
      <w:start w:val="1"/>
      <w:numFmt w:val="lowerRoman"/>
      <w:lvlText w:val="%6."/>
      <w:lvlJc w:val="right"/>
      <w:pPr>
        <w:tabs>
          <w:tab w:val="num" w:pos="0"/>
        </w:tabs>
        <w:ind w:left="3960" w:hanging="180"/>
      </w:pPr>
      <w:rPr/>
    </w:lvl>
    <w:lvl w:ilvl="6">
      <w:start w:val="1"/>
      <w:numFmt w:val="decimal"/>
      <w:lvlText w:val="%7."/>
      <w:lvlJc w:val="left"/>
      <w:pPr>
        <w:tabs>
          <w:tab w:val="num" w:pos="0"/>
        </w:tabs>
        <w:ind w:left="4680" w:hanging="360"/>
      </w:pPr>
      <w:rPr/>
    </w:lvl>
    <w:lvl w:ilvl="7">
      <w:start w:val="1"/>
      <w:numFmt w:val="lowerLetter"/>
      <w:lvlText w:val="%8."/>
      <w:lvlJc w:val="left"/>
      <w:pPr>
        <w:tabs>
          <w:tab w:val="num" w:pos="0"/>
        </w:tabs>
        <w:ind w:left="5400" w:hanging="360"/>
      </w:pPr>
      <w:rPr/>
    </w:lvl>
    <w:lvl w:ilvl="8">
      <w:start w:val="1"/>
      <w:numFmt w:val="lowerRoman"/>
      <w:lvlText w:val="%9."/>
      <w:lvlJc w:val="right"/>
      <w:pPr>
        <w:tabs>
          <w:tab w:val="num" w:pos="0"/>
        </w:tabs>
        <w:ind w:left="6120" w:hanging="180"/>
      </w:pPr>
      <w:rPr/>
    </w:lvl>
  </w:abstractNum>
  <w:abstractNum w:abstractNumId="7">
    <w:lvl w:ilvl="0">
      <w:start w:val="1"/>
      <w:numFmt w:val="bullet"/>
      <w:lvlText w:val="-"/>
      <w:lvlJc w:val="left"/>
      <w:pPr>
        <w:tabs>
          <w:tab w:val="num" w:pos="0"/>
        </w:tabs>
        <w:ind w:left="785" w:hanging="360"/>
      </w:pPr>
      <w:rPr>
        <w:rFonts w:ascii="Times New Roman" w:hAnsi="Times New Roman" w:cs="Times New Roman" w:hint="default"/>
        <w:rFonts w:eastAsiaTheme="minorEastAsia"/>
      </w:rPr>
    </w:lvl>
    <w:lvl w:ilvl="1">
      <w:start w:val="1"/>
      <w:numFmt w:val="bullet"/>
      <w:lvlText w:val="o"/>
      <w:lvlJc w:val="left"/>
      <w:pPr>
        <w:tabs>
          <w:tab w:val="num" w:pos="0"/>
        </w:tabs>
        <w:ind w:left="1156" w:hanging="360"/>
      </w:pPr>
      <w:rPr>
        <w:rFonts w:ascii="Courier New" w:hAnsi="Courier New" w:cs="Courier New" w:hint="default"/>
      </w:rPr>
    </w:lvl>
    <w:lvl w:ilvl="2">
      <w:start w:val="1"/>
      <w:numFmt w:val="bullet"/>
      <w:lvlText w:val=""/>
      <w:lvlJc w:val="left"/>
      <w:pPr>
        <w:tabs>
          <w:tab w:val="num" w:pos="0"/>
        </w:tabs>
        <w:ind w:left="1876" w:hanging="360"/>
      </w:pPr>
      <w:rPr>
        <w:rFonts w:ascii="Wingdings" w:hAnsi="Wingdings" w:cs="Wingdings" w:hint="default"/>
      </w:rPr>
    </w:lvl>
    <w:lvl w:ilvl="3">
      <w:start w:val="1"/>
      <w:numFmt w:val="bullet"/>
      <w:lvlText w:val=""/>
      <w:lvlJc w:val="left"/>
      <w:pPr>
        <w:tabs>
          <w:tab w:val="num" w:pos="0"/>
        </w:tabs>
        <w:ind w:left="2596" w:hanging="360"/>
      </w:pPr>
      <w:rPr>
        <w:rFonts w:ascii="Symbol" w:hAnsi="Symbol" w:cs="Symbol" w:hint="default"/>
      </w:rPr>
    </w:lvl>
    <w:lvl w:ilvl="4">
      <w:start w:val="1"/>
      <w:numFmt w:val="bullet"/>
      <w:lvlText w:val="o"/>
      <w:lvlJc w:val="left"/>
      <w:pPr>
        <w:tabs>
          <w:tab w:val="num" w:pos="0"/>
        </w:tabs>
        <w:ind w:left="3316" w:hanging="360"/>
      </w:pPr>
      <w:rPr>
        <w:rFonts w:ascii="Courier New" w:hAnsi="Courier New" w:cs="Courier New" w:hint="default"/>
      </w:rPr>
    </w:lvl>
    <w:lvl w:ilvl="5">
      <w:start w:val="1"/>
      <w:numFmt w:val="bullet"/>
      <w:lvlText w:val=""/>
      <w:lvlJc w:val="left"/>
      <w:pPr>
        <w:tabs>
          <w:tab w:val="num" w:pos="0"/>
        </w:tabs>
        <w:ind w:left="4036" w:hanging="360"/>
      </w:pPr>
      <w:rPr>
        <w:rFonts w:ascii="Wingdings" w:hAnsi="Wingdings" w:cs="Wingdings" w:hint="default"/>
      </w:rPr>
    </w:lvl>
    <w:lvl w:ilvl="6">
      <w:start w:val="1"/>
      <w:numFmt w:val="bullet"/>
      <w:lvlText w:val=""/>
      <w:lvlJc w:val="left"/>
      <w:pPr>
        <w:tabs>
          <w:tab w:val="num" w:pos="0"/>
        </w:tabs>
        <w:ind w:left="4756" w:hanging="360"/>
      </w:pPr>
      <w:rPr>
        <w:rFonts w:ascii="Symbol" w:hAnsi="Symbol" w:cs="Symbol" w:hint="default"/>
      </w:rPr>
    </w:lvl>
    <w:lvl w:ilvl="7">
      <w:start w:val="1"/>
      <w:numFmt w:val="bullet"/>
      <w:lvlText w:val="o"/>
      <w:lvlJc w:val="left"/>
      <w:pPr>
        <w:tabs>
          <w:tab w:val="num" w:pos="0"/>
        </w:tabs>
        <w:ind w:left="5476" w:hanging="360"/>
      </w:pPr>
      <w:rPr>
        <w:rFonts w:ascii="Courier New" w:hAnsi="Courier New" w:cs="Courier New" w:hint="default"/>
      </w:rPr>
    </w:lvl>
    <w:lvl w:ilvl="8">
      <w:start w:val="1"/>
      <w:numFmt w:val="bullet"/>
      <w:lvlText w:val=""/>
      <w:lvlJc w:val="left"/>
      <w:pPr>
        <w:tabs>
          <w:tab w:val="num" w:pos="0"/>
        </w:tabs>
        <w:ind w:left="6196" w:hanging="360"/>
      </w:pPr>
      <w:rPr>
        <w:rFonts w:ascii="Wingdings" w:hAnsi="Wingdings" w:cs="Wingdings" w:hint="default"/>
      </w:rPr>
    </w:lvl>
  </w:abstractNum>
  <w:abstractNum w:abstractNumId="8">
    <w:lvl w:ilvl="0">
      <w:start w:val="1"/>
      <w:numFmt w:val="upperRoman"/>
      <w:lvlText w:val="%1)"/>
      <w:lvlJc w:val="left"/>
      <w:pPr>
        <w:tabs>
          <w:tab w:val="num" w:pos="0"/>
        </w:tabs>
        <w:ind w:left="1145" w:hanging="720"/>
      </w:pPr>
      <w:rPr/>
    </w:lvl>
    <w:lvl w:ilvl="1">
      <w:start w:val="1"/>
      <w:numFmt w:val="lowerLetter"/>
      <w:lvlText w:val="%2."/>
      <w:lvlJc w:val="left"/>
      <w:pPr>
        <w:tabs>
          <w:tab w:val="num" w:pos="0"/>
        </w:tabs>
        <w:ind w:left="1865" w:hanging="360"/>
      </w:pPr>
      <w:rPr/>
    </w:lvl>
    <w:lvl w:ilvl="2">
      <w:start w:val="1"/>
      <w:numFmt w:val="lowerRoman"/>
      <w:lvlText w:val="%3."/>
      <w:lvlJc w:val="right"/>
      <w:pPr>
        <w:tabs>
          <w:tab w:val="num" w:pos="0"/>
        </w:tabs>
        <w:ind w:left="2585" w:hanging="180"/>
      </w:pPr>
      <w:rPr/>
    </w:lvl>
    <w:lvl w:ilvl="3">
      <w:start w:val="1"/>
      <w:numFmt w:val="decimal"/>
      <w:lvlText w:val="%4."/>
      <w:lvlJc w:val="left"/>
      <w:pPr>
        <w:tabs>
          <w:tab w:val="num" w:pos="0"/>
        </w:tabs>
        <w:ind w:left="3305" w:hanging="360"/>
      </w:pPr>
      <w:rPr/>
    </w:lvl>
    <w:lvl w:ilvl="4">
      <w:start w:val="1"/>
      <w:numFmt w:val="lowerLetter"/>
      <w:lvlText w:val="%5."/>
      <w:lvlJc w:val="left"/>
      <w:pPr>
        <w:tabs>
          <w:tab w:val="num" w:pos="0"/>
        </w:tabs>
        <w:ind w:left="4025" w:hanging="360"/>
      </w:pPr>
      <w:rPr/>
    </w:lvl>
    <w:lvl w:ilvl="5">
      <w:start w:val="1"/>
      <w:numFmt w:val="lowerRoman"/>
      <w:lvlText w:val="%6."/>
      <w:lvlJc w:val="right"/>
      <w:pPr>
        <w:tabs>
          <w:tab w:val="num" w:pos="0"/>
        </w:tabs>
        <w:ind w:left="4745" w:hanging="180"/>
      </w:pPr>
      <w:rPr/>
    </w:lvl>
    <w:lvl w:ilvl="6">
      <w:start w:val="1"/>
      <w:numFmt w:val="decimal"/>
      <w:lvlText w:val="%7."/>
      <w:lvlJc w:val="left"/>
      <w:pPr>
        <w:tabs>
          <w:tab w:val="num" w:pos="0"/>
        </w:tabs>
        <w:ind w:left="5465" w:hanging="360"/>
      </w:pPr>
      <w:rPr/>
    </w:lvl>
    <w:lvl w:ilvl="7">
      <w:start w:val="1"/>
      <w:numFmt w:val="lowerLetter"/>
      <w:lvlText w:val="%8."/>
      <w:lvlJc w:val="left"/>
      <w:pPr>
        <w:tabs>
          <w:tab w:val="num" w:pos="0"/>
        </w:tabs>
        <w:ind w:left="6185" w:hanging="360"/>
      </w:pPr>
      <w:rPr/>
    </w:lvl>
    <w:lvl w:ilvl="8">
      <w:start w:val="1"/>
      <w:numFmt w:val="lowerRoman"/>
      <w:lvlText w:val="%9."/>
      <w:lvlJc w:val="right"/>
      <w:pPr>
        <w:tabs>
          <w:tab w:val="num" w:pos="0"/>
        </w:tabs>
        <w:ind w:left="6905" w:hanging="180"/>
      </w:pPr>
      <w:rPr/>
    </w:lvl>
  </w:abstractNum>
  <w:abstractNum w:abstractNumId="9">
    <w:lvl w:ilvl="0">
      <w:start w:val="1"/>
      <w:numFmt w:val="decimal"/>
      <w:lvlText w:val="%1."/>
      <w:lvlJc w:val="left"/>
      <w:pPr>
        <w:tabs>
          <w:tab w:val="num" w:pos="0"/>
        </w:tabs>
        <w:ind w:left="360" w:hanging="360"/>
      </w:pPr>
      <w:rPr/>
    </w:lvl>
    <w:lvl w:ilvl="1">
      <w:start w:val="1"/>
      <w:numFmt w:val="lowerLetter"/>
      <w:lvlText w:val="%2."/>
      <w:lvlJc w:val="left"/>
      <w:pPr>
        <w:tabs>
          <w:tab w:val="num" w:pos="0"/>
        </w:tabs>
        <w:ind w:left="1080" w:hanging="360"/>
      </w:pPr>
      <w:rPr/>
    </w:lvl>
    <w:lvl w:ilvl="2">
      <w:start w:val="1"/>
      <w:numFmt w:val="lowerRoman"/>
      <w:lvlText w:val="%3."/>
      <w:lvlJc w:val="right"/>
      <w:pPr>
        <w:tabs>
          <w:tab w:val="num" w:pos="0"/>
        </w:tabs>
        <w:ind w:left="1800" w:hanging="180"/>
      </w:pPr>
      <w:rPr/>
    </w:lvl>
    <w:lvl w:ilvl="3">
      <w:start w:val="1"/>
      <w:numFmt w:val="decimal"/>
      <w:lvlText w:val="%4."/>
      <w:lvlJc w:val="left"/>
      <w:pPr>
        <w:tabs>
          <w:tab w:val="num" w:pos="0"/>
        </w:tabs>
        <w:ind w:left="2520" w:hanging="360"/>
      </w:pPr>
      <w:rPr/>
    </w:lvl>
    <w:lvl w:ilvl="4">
      <w:start w:val="1"/>
      <w:numFmt w:val="lowerLetter"/>
      <w:lvlText w:val="%5."/>
      <w:lvlJc w:val="left"/>
      <w:pPr>
        <w:tabs>
          <w:tab w:val="num" w:pos="0"/>
        </w:tabs>
        <w:ind w:left="3240" w:hanging="360"/>
      </w:pPr>
      <w:rPr/>
    </w:lvl>
    <w:lvl w:ilvl="5">
      <w:start w:val="1"/>
      <w:numFmt w:val="lowerRoman"/>
      <w:lvlText w:val="%6."/>
      <w:lvlJc w:val="right"/>
      <w:pPr>
        <w:tabs>
          <w:tab w:val="num" w:pos="0"/>
        </w:tabs>
        <w:ind w:left="3960" w:hanging="180"/>
      </w:pPr>
      <w:rPr/>
    </w:lvl>
    <w:lvl w:ilvl="6">
      <w:start w:val="1"/>
      <w:numFmt w:val="decimal"/>
      <w:lvlText w:val="%7."/>
      <w:lvlJc w:val="left"/>
      <w:pPr>
        <w:tabs>
          <w:tab w:val="num" w:pos="0"/>
        </w:tabs>
        <w:ind w:left="4680" w:hanging="360"/>
      </w:pPr>
      <w:rPr/>
    </w:lvl>
    <w:lvl w:ilvl="7">
      <w:start w:val="1"/>
      <w:numFmt w:val="lowerLetter"/>
      <w:lvlText w:val="%8."/>
      <w:lvlJc w:val="left"/>
      <w:pPr>
        <w:tabs>
          <w:tab w:val="num" w:pos="0"/>
        </w:tabs>
        <w:ind w:left="5400" w:hanging="360"/>
      </w:pPr>
      <w:rPr/>
    </w:lvl>
    <w:lvl w:ilvl="8">
      <w:start w:val="1"/>
      <w:numFmt w:val="lowerRoman"/>
      <w:lvlText w:val="%9."/>
      <w:lvlJc w:val="right"/>
      <w:pPr>
        <w:tabs>
          <w:tab w:val="num" w:pos="0"/>
        </w:tabs>
        <w:ind w:left="6120" w:hanging="180"/>
      </w:pPr>
      <w:rPr/>
    </w:lvl>
  </w:abstractNum>
  <w:abstractNum w:abstractNumId="10">
    <w:lvl w:ilvl="0">
      <w:start w:val="1"/>
      <w:numFmt w:val="decimal"/>
      <w:lvlText w:val="%1."/>
      <w:lvlJc w:val="left"/>
      <w:pPr>
        <w:tabs>
          <w:tab w:val="num" w:pos="0"/>
        </w:tabs>
        <w:ind w:left="360" w:hanging="360"/>
      </w:pPr>
      <w:rPr/>
    </w:lvl>
    <w:lvl w:ilvl="1">
      <w:start w:val="1"/>
      <w:numFmt w:val="lowerLetter"/>
      <w:lvlText w:val="%2."/>
      <w:lvlJc w:val="left"/>
      <w:pPr>
        <w:tabs>
          <w:tab w:val="num" w:pos="0"/>
        </w:tabs>
        <w:ind w:left="1080" w:hanging="360"/>
      </w:pPr>
      <w:rPr/>
    </w:lvl>
    <w:lvl w:ilvl="2">
      <w:start w:val="1"/>
      <w:numFmt w:val="lowerRoman"/>
      <w:lvlText w:val="%3."/>
      <w:lvlJc w:val="right"/>
      <w:pPr>
        <w:tabs>
          <w:tab w:val="num" w:pos="0"/>
        </w:tabs>
        <w:ind w:left="1800" w:hanging="180"/>
      </w:pPr>
      <w:rPr/>
    </w:lvl>
    <w:lvl w:ilvl="3">
      <w:start w:val="1"/>
      <w:numFmt w:val="decimal"/>
      <w:lvlText w:val="%4."/>
      <w:lvlJc w:val="left"/>
      <w:pPr>
        <w:tabs>
          <w:tab w:val="num" w:pos="0"/>
        </w:tabs>
        <w:ind w:left="2520" w:hanging="360"/>
      </w:pPr>
      <w:rPr/>
    </w:lvl>
    <w:lvl w:ilvl="4">
      <w:start w:val="1"/>
      <w:numFmt w:val="lowerLetter"/>
      <w:lvlText w:val="%5."/>
      <w:lvlJc w:val="left"/>
      <w:pPr>
        <w:tabs>
          <w:tab w:val="num" w:pos="0"/>
        </w:tabs>
        <w:ind w:left="3240" w:hanging="360"/>
      </w:pPr>
      <w:rPr/>
    </w:lvl>
    <w:lvl w:ilvl="5">
      <w:start w:val="1"/>
      <w:numFmt w:val="lowerRoman"/>
      <w:lvlText w:val="%6."/>
      <w:lvlJc w:val="right"/>
      <w:pPr>
        <w:tabs>
          <w:tab w:val="num" w:pos="0"/>
        </w:tabs>
        <w:ind w:left="3960" w:hanging="180"/>
      </w:pPr>
      <w:rPr/>
    </w:lvl>
    <w:lvl w:ilvl="6">
      <w:start w:val="1"/>
      <w:numFmt w:val="decimal"/>
      <w:lvlText w:val="%7."/>
      <w:lvlJc w:val="left"/>
      <w:pPr>
        <w:tabs>
          <w:tab w:val="num" w:pos="0"/>
        </w:tabs>
        <w:ind w:left="4680" w:hanging="360"/>
      </w:pPr>
      <w:rPr/>
    </w:lvl>
    <w:lvl w:ilvl="7">
      <w:start w:val="1"/>
      <w:numFmt w:val="lowerLetter"/>
      <w:lvlText w:val="%8."/>
      <w:lvlJc w:val="left"/>
      <w:pPr>
        <w:tabs>
          <w:tab w:val="num" w:pos="0"/>
        </w:tabs>
        <w:ind w:left="5400" w:hanging="360"/>
      </w:pPr>
      <w:rPr/>
    </w:lvl>
    <w:lvl w:ilvl="8">
      <w:start w:val="1"/>
      <w:numFmt w:val="lowerRoman"/>
      <w:lvlText w:val="%9."/>
      <w:lvlJc w:val="right"/>
      <w:pPr>
        <w:tabs>
          <w:tab w:val="num" w:pos="0"/>
        </w:tabs>
        <w:ind w:left="6120" w:hanging="180"/>
      </w:pPr>
      <w:rPr/>
    </w:lvl>
  </w:abstractNum>
  <w:abstractNum w:abstractNumId="11">
    <w:lvl w:ilvl="0">
      <w:start w:val="1"/>
      <w:numFmt w:val="decimal"/>
      <w:lvlText w:val="%1."/>
      <w:lvlJc w:val="left"/>
      <w:pPr>
        <w:tabs>
          <w:tab w:val="num" w:pos="0"/>
        </w:tabs>
        <w:ind w:left="360" w:hanging="360"/>
      </w:pPr>
      <w:rPr/>
    </w:lvl>
    <w:lvl w:ilvl="1">
      <w:start w:val="1"/>
      <w:numFmt w:val="lowerLetter"/>
      <w:lvlText w:val="%2."/>
      <w:lvlJc w:val="left"/>
      <w:pPr>
        <w:tabs>
          <w:tab w:val="num" w:pos="0"/>
        </w:tabs>
        <w:ind w:left="1080" w:hanging="360"/>
      </w:pPr>
      <w:rPr/>
    </w:lvl>
    <w:lvl w:ilvl="2">
      <w:start w:val="1"/>
      <w:numFmt w:val="lowerRoman"/>
      <w:lvlText w:val="%3."/>
      <w:lvlJc w:val="right"/>
      <w:pPr>
        <w:tabs>
          <w:tab w:val="num" w:pos="0"/>
        </w:tabs>
        <w:ind w:left="1800" w:hanging="180"/>
      </w:pPr>
      <w:rPr/>
    </w:lvl>
    <w:lvl w:ilvl="3">
      <w:start w:val="1"/>
      <w:numFmt w:val="decimal"/>
      <w:lvlText w:val="%4."/>
      <w:lvlJc w:val="left"/>
      <w:pPr>
        <w:tabs>
          <w:tab w:val="num" w:pos="0"/>
        </w:tabs>
        <w:ind w:left="2520" w:hanging="360"/>
      </w:pPr>
      <w:rPr/>
    </w:lvl>
    <w:lvl w:ilvl="4">
      <w:start w:val="1"/>
      <w:numFmt w:val="lowerLetter"/>
      <w:lvlText w:val="%5."/>
      <w:lvlJc w:val="left"/>
      <w:pPr>
        <w:tabs>
          <w:tab w:val="num" w:pos="0"/>
        </w:tabs>
        <w:ind w:left="3240" w:hanging="360"/>
      </w:pPr>
      <w:rPr/>
    </w:lvl>
    <w:lvl w:ilvl="5">
      <w:start w:val="1"/>
      <w:numFmt w:val="lowerRoman"/>
      <w:lvlText w:val="%6."/>
      <w:lvlJc w:val="right"/>
      <w:pPr>
        <w:tabs>
          <w:tab w:val="num" w:pos="0"/>
        </w:tabs>
        <w:ind w:left="3960" w:hanging="180"/>
      </w:pPr>
      <w:rPr/>
    </w:lvl>
    <w:lvl w:ilvl="6">
      <w:start w:val="1"/>
      <w:numFmt w:val="decimal"/>
      <w:lvlText w:val="%7."/>
      <w:lvlJc w:val="left"/>
      <w:pPr>
        <w:tabs>
          <w:tab w:val="num" w:pos="0"/>
        </w:tabs>
        <w:ind w:left="4680" w:hanging="360"/>
      </w:pPr>
      <w:rPr/>
    </w:lvl>
    <w:lvl w:ilvl="7">
      <w:start w:val="1"/>
      <w:numFmt w:val="lowerLetter"/>
      <w:lvlText w:val="%8."/>
      <w:lvlJc w:val="left"/>
      <w:pPr>
        <w:tabs>
          <w:tab w:val="num" w:pos="0"/>
        </w:tabs>
        <w:ind w:left="5400" w:hanging="360"/>
      </w:pPr>
      <w:rPr/>
    </w:lvl>
    <w:lvl w:ilvl="8">
      <w:start w:val="1"/>
      <w:numFmt w:val="lowerRoman"/>
      <w:lvlText w:val="%9."/>
      <w:lvlJc w:val="right"/>
      <w:pPr>
        <w:tabs>
          <w:tab w:val="num" w:pos="0"/>
        </w:tabs>
        <w:ind w:left="6120" w:hanging="180"/>
      </w:pPr>
      <w:rPr/>
    </w:lvl>
  </w:abstractNum>
  <w:abstractNum w:abstractNumId="12">
    <w:lvl w:ilvl="0">
      <w:start w:val="1"/>
      <w:numFmt w:val="decimal"/>
      <w:lvlText w:val="%1."/>
      <w:lvlJc w:val="left"/>
      <w:pPr>
        <w:tabs>
          <w:tab w:val="num" w:pos="0"/>
        </w:tabs>
        <w:ind w:left="360" w:hanging="360"/>
      </w:pPr>
      <w:rPr/>
    </w:lvl>
    <w:lvl w:ilvl="1">
      <w:start w:val="1"/>
      <w:numFmt w:val="lowerLetter"/>
      <w:lvlText w:val="%2."/>
      <w:lvlJc w:val="left"/>
      <w:pPr>
        <w:tabs>
          <w:tab w:val="num" w:pos="0"/>
        </w:tabs>
        <w:ind w:left="1080" w:hanging="360"/>
      </w:pPr>
      <w:rPr/>
    </w:lvl>
    <w:lvl w:ilvl="2">
      <w:start w:val="1"/>
      <w:numFmt w:val="lowerRoman"/>
      <w:lvlText w:val="%3."/>
      <w:lvlJc w:val="right"/>
      <w:pPr>
        <w:tabs>
          <w:tab w:val="num" w:pos="0"/>
        </w:tabs>
        <w:ind w:left="1800" w:hanging="180"/>
      </w:pPr>
      <w:rPr/>
    </w:lvl>
    <w:lvl w:ilvl="3">
      <w:start w:val="1"/>
      <w:numFmt w:val="decimal"/>
      <w:lvlText w:val="%4."/>
      <w:lvlJc w:val="left"/>
      <w:pPr>
        <w:tabs>
          <w:tab w:val="num" w:pos="0"/>
        </w:tabs>
        <w:ind w:left="2520" w:hanging="360"/>
      </w:pPr>
      <w:rPr/>
    </w:lvl>
    <w:lvl w:ilvl="4">
      <w:start w:val="1"/>
      <w:numFmt w:val="lowerLetter"/>
      <w:lvlText w:val="%5."/>
      <w:lvlJc w:val="left"/>
      <w:pPr>
        <w:tabs>
          <w:tab w:val="num" w:pos="0"/>
        </w:tabs>
        <w:ind w:left="3240" w:hanging="360"/>
      </w:pPr>
      <w:rPr/>
    </w:lvl>
    <w:lvl w:ilvl="5">
      <w:start w:val="1"/>
      <w:numFmt w:val="lowerRoman"/>
      <w:lvlText w:val="%6."/>
      <w:lvlJc w:val="right"/>
      <w:pPr>
        <w:tabs>
          <w:tab w:val="num" w:pos="0"/>
        </w:tabs>
        <w:ind w:left="3960" w:hanging="180"/>
      </w:pPr>
      <w:rPr/>
    </w:lvl>
    <w:lvl w:ilvl="6">
      <w:start w:val="1"/>
      <w:numFmt w:val="decimal"/>
      <w:lvlText w:val="%7."/>
      <w:lvlJc w:val="left"/>
      <w:pPr>
        <w:tabs>
          <w:tab w:val="num" w:pos="0"/>
        </w:tabs>
        <w:ind w:left="4680" w:hanging="360"/>
      </w:pPr>
      <w:rPr/>
    </w:lvl>
    <w:lvl w:ilvl="7">
      <w:start w:val="1"/>
      <w:numFmt w:val="lowerLetter"/>
      <w:lvlText w:val="%8."/>
      <w:lvlJc w:val="left"/>
      <w:pPr>
        <w:tabs>
          <w:tab w:val="num" w:pos="0"/>
        </w:tabs>
        <w:ind w:left="5400" w:hanging="360"/>
      </w:pPr>
      <w:rPr/>
    </w:lvl>
    <w:lvl w:ilvl="8">
      <w:start w:val="1"/>
      <w:numFmt w:val="lowerRoman"/>
      <w:lvlText w:val="%9."/>
      <w:lvlJc w:val="right"/>
      <w:pPr>
        <w:tabs>
          <w:tab w:val="num" w:pos="0"/>
        </w:tabs>
        <w:ind w:left="6120" w:hanging="180"/>
      </w:pPr>
      <w:rPr/>
    </w:lvl>
  </w:abstractNum>
  <w:abstractNum w:abstractNumId="13">
    <w:lvl w:ilvl="0">
      <w:start w:val="1"/>
      <w:numFmt w:val="lowerLetter"/>
      <w:lvlText w:val="%1."/>
      <w:lvlJc w:val="left"/>
      <w:pPr>
        <w:tabs>
          <w:tab w:val="num" w:pos="0"/>
        </w:tabs>
        <w:ind w:left="785" w:hanging="360"/>
      </w:pPr>
      <w:rPr/>
    </w:lvl>
    <w:lvl w:ilvl="1">
      <w:start w:val="1"/>
      <w:numFmt w:val="lowerLetter"/>
      <w:lvlText w:val="%2."/>
      <w:lvlJc w:val="left"/>
      <w:pPr>
        <w:tabs>
          <w:tab w:val="num" w:pos="0"/>
        </w:tabs>
        <w:ind w:left="1865" w:hanging="360"/>
      </w:pPr>
      <w:rPr/>
    </w:lvl>
    <w:lvl w:ilvl="2">
      <w:start w:val="1"/>
      <w:numFmt w:val="lowerRoman"/>
      <w:lvlText w:val="%3."/>
      <w:lvlJc w:val="right"/>
      <w:pPr>
        <w:tabs>
          <w:tab w:val="num" w:pos="0"/>
        </w:tabs>
        <w:ind w:left="2585" w:hanging="180"/>
      </w:pPr>
      <w:rPr/>
    </w:lvl>
    <w:lvl w:ilvl="3">
      <w:start w:val="1"/>
      <w:numFmt w:val="decimal"/>
      <w:lvlText w:val="%4."/>
      <w:lvlJc w:val="left"/>
      <w:pPr>
        <w:tabs>
          <w:tab w:val="num" w:pos="0"/>
        </w:tabs>
        <w:ind w:left="3305" w:hanging="360"/>
      </w:pPr>
      <w:rPr/>
    </w:lvl>
    <w:lvl w:ilvl="4">
      <w:start w:val="1"/>
      <w:numFmt w:val="lowerLetter"/>
      <w:lvlText w:val="%5."/>
      <w:lvlJc w:val="left"/>
      <w:pPr>
        <w:tabs>
          <w:tab w:val="num" w:pos="0"/>
        </w:tabs>
        <w:ind w:left="4025" w:hanging="360"/>
      </w:pPr>
      <w:rPr/>
    </w:lvl>
    <w:lvl w:ilvl="5">
      <w:start w:val="1"/>
      <w:numFmt w:val="lowerRoman"/>
      <w:lvlText w:val="%6."/>
      <w:lvlJc w:val="right"/>
      <w:pPr>
        <w:tabs>
          <w:tab w:val="num" w:pos="0"/>
        </w:tabs>
        <w:ind w:left="4745" w:hanging="180"/>
      </w:pPr>
      <w:rPr/>
    </w:lvl>
    <w:lvl w:ilvl="6">
      <w:start w:val="1"/>
      <w:numFmt w:val="decimal"/>
      <w:lvlText w:val="%7."/>
      <w:lvlJc w:val="left"/>
      <w:pPr>
        <w:tabs>
          <w:tab w:val="num" w:pos="0"/>
        </w:tabs>
        <w:ind w:left="5465" w:hanging="360"/>
      </w:pPr>
      <w:rPr/>
    </w:lvl>
    <w:lvl w:ilvl="7">
      <w:start w:val="1"/>
      <w:numFmt w:val="lowerLetter"/>
      <w:lvlText w:val="%8."/>
      <w:lvlJc w:val="left"/>
      <w:pPr>
        <w:tabs>
          <w:tab w:val="num" w:pos="0"/>
        </w:tabs>
        <w:ind w:left="6185" w:hanging="360"/>
      </w:pPr>
      <w:rPr/>
    </w:lvl>
    <w:lvl w:ilvl="8">
      <w:start w:val="1"/>
      <w:numFmt w:val="lowerRoman"/>
      <w:lvlText w:val="%9."/>
      <w:lvlJc w:val="right"/>
      <w:pPr>
        <w:tabs>
          <w:tab w:val="num" w:pos="0"/>
        </w:tabs>
        <w:ind w:left="6905" w:hanging="180"/>
      </w:pPr>
      <w:rPr/>
    </w:lvl>
  </w:abstractNum>
  <w:abstractNum w:abstractNumId="14">
    <w:lvl w:ilvl="0">
      <w:start w:val="1"/>
      <w:numFmt w:val="lowerLetter"/>
      <w:lvlText w:val="%1."/>
      <w:lvlJc w:val="left"/>
      <w:pPr>
        <w:tabs>
          <w:tab w:val="num" w:pos="0"/>
        </w:tabs>
        <w:ind w:left="785" w:hanging="360"/>
      </w:pPr>
      <w:rPr/>
    </w:lvl>
    <w:lvl w:ilvl="1">
      <w:start w:val="1"/>
      <w:numFmt w:val="lowerLetter"/>
      <w:lvlText w:val="%2."/>
      <w:lvlJc w:val="left"/>
      <w:pPr>
        <w:tabs>
          <w:tab w:val="num" w:pos="0"/>
        </w:tabs>
        <w:ind w:left="1505" w:hanging="360"/>
      </w:pPr>
      <w:rPr/>
    </w:lvl>
    <w:lvl w:ilvl="2">
      <w:start w:val="1"/>
      <w:numFmt w:val="lowerRoman"/>
      <w:lvlText w:val="%3."/>
      <w:lvlJc w:val="right"/>
      <w:pPr>
        <w:tabs>
          <w:tab w:val="num" w:pos="0"/>
        </w:tabs>
        <w:ind w:left="2225" w:hanging="180"/>
      </w:pPr>
      <w:rPr/>
    </w:lvl>
    <w:lvl w:ilvl="3">
      <w:start w:val="1"/>
      <w:numFmt w:val="decimal"/>
      <w:lvlText w:val="%4."/>
      <w:lvlJc w:val="left"/>
      <w:pPr>
        <w:tabs>
          <w:tab w:val="num" w:pos="0"/>
        </w:tabs>
        <w:ind w:left="2945" w:hanging="360"/>
      </w:pPr>
      <w:rPr/>
    </w:lvl>
    <w:lvl w:ilvl="4">
      <w:start w:val="1"/>
      <w:numFmt w:val="lowerLetter"/>
      <w:lvlText w:val="%5."/>
      <w:lvlJc w:val="left"/>
      <w:pPr>
        <w:tabs>
          <w:tab w:val="num" w:pos="0"/>
        </w:tabs>
        <w:ind w:left="3665" w:hanging="360"/>
      </w:pPr>
      <w:rPr/>
    </w:lvl>
    <w:lvl w:ilvl="5">
      <w:start w:val="1"/>
      <w:numFmt w:val="lowerRoman"/>
      <w:lvlText w:val="%6."/>
      <w:lvlJc w:val="right"/>
      <w:pPr>
        <w:tabs>
          <w:tab w:val="num" w:pos="0"/>
        </w:tabs>
        <w:ind w:left="4385" w:hanging="180"/>
      </w:pPr>
      <w:rPr/>
    </w:lvl>
    <w:lvl w:ilvl="6">
      <w:start w:val="1"/>
      <w:numFmt w:val="decimal"/>
      <w:lvlText w:val="%7."/>
      <w:lvlJc w:val="left"/>
      <w:pPr>
        <w:tabs>
          <w:tab w:val="num" w:pos="0"/>
        </w:tabs>
        <w:ind w:left="5105" w:hanging="360"/>
      </w:pPr>
      <w:rPr/>
    </w:lvl>
    <w:lvl w:ilvl="7">
      <w:start w:val="1"/>
      <w:numFmt w:val="lowerLetter"/>
      <w:lvlText w:val="%8."/>
      <w:lvlJc w:val="left"/>
      <w:pPr>
        <w:tabs>
          <w:tab w:val="num" w:pos="0"/>
        </w:tabs>
        <w:ind w:left="5825" w:hanging="360"/>
      </w:pPr>
      <w:rPr/>
    </w:lvl>
    <w:lvl w:ilvl="8">
      <w:start w:val="1"/>
      <w:numFmt w:val="lowerRoman"/>
      <w:lvlText w:val="%9."/>
      <w:lvlJc w:val="right"/>
      <w:pPr>
        <w:tabs>
          <w:tab w:val="num" w:pos="0"/>
        </w:tabs>
        <w:ind w:left="6545" w:hanging="180"/>
      </w:pPr>
      <w:rPr/>
    </w:lvl>
  </w:abstractNum>
  <w:abstractNum w:abstractNumId="15">
    <w:lvl w:ilvl="0">
      <w:start w:val="1"/>
      <w:numFmt w:val="lowerLetter"/>
      <w:lvlText w:val="%1."/>
      <w:lvlJc w:val="left"/>
      <w:pPr>
        <w:tabs>
          <w:tab w:val="num" w:pos="0"/>
        </w:tabs>
        <w:ind w:left="720"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16">
    <w:lvl w:ilvl="0">
      <w:start w:val="1"/>
      <w:numFmt w:val="lowerLetter"/>
      <w:lvlText w:val="%1."/>
      <w:lvlJc w:val="left"/>
      <w:pPr>
        <w:tabs>
          <w:tab w:val="num" w:pos="0"/>
        </w:tabs>
        <w:ind w:left="720"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17">
    <w:lvl w:ilvl="0">
      <w:start w:val="1"/>
      <w:numFmt w:val="decimal"/>
      <w:lvlText w:val="%1."/>
      <w:lvlJc w:val="left"/>
      <w:pPr>
        <w:tabs>
          <w:tab w:val="num" w:pos="0"/>
        </w:tabs>
        <w:ind w:left="720"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18">
    <w:lvl w:ilvl="0">
      <w:start w:val="1"/>
      <w:numFmt w:val="decimal"/>
      <w:lvlText w:val="%1."/>
      <w:lvlJc w:val="left"/>
      <w:pPr>
        <w:tabs>
          <w:tab w:val="num" w:pos="0"/>
        </w:tabs>
        <w:ind w:left="360" w:hanging="360"/>
      </w:pPr>
      <w:rPr/>
    </w:lvl>
    <w:lvl w:ilvl="1">
      <w:start w:val="1"/>
      <w:numFmt w:val="lowerLetter"/>
      <w:lvlText w:val="%2."/>
      <w:lvlJc w:val="left"/>
      <w:pPr>
        <w:tabs>
          <w:tab w:val="num" w:pos="0"/>
        </w:tabs>
        <w:ind w:left="1080" w:hanging="360"/>
      </w:pPr>
      <w:rPr/>
    </w:lvl>
    <w:lvl w:ilvl="2">
      <w:start w:val="1"/>
      <w:numFmt w:val="lowerRoman"/>
      <w:lvlText w:val="%3."/>
      <w:lvlJc w:val="right"/>
      <w:pPr>
        <w:tabs>
          <w:tab w:val="num" w:pos="0"/>
        </w:tabs>
        <w:ind w:left="1800" w:hanging="180"/>
      </w:pPr>
      <w:rPr/>
    </w:lvl>
    <w:lvl w:ilvl="3">
      <w:start w:val="1"/>
      <w:numFmt w:val="decimal"/>
      <w:lvlText w:val="%4."/>
      <w:lvlJc w:val="left"/>
      <w:pPr>
        <w:tabs>
          <w:tab w:val="num" w:pos="0"/>
        </w:tabs>
        <w:ind w:left="2520" w:hanging="360"/>
      </w:pPr>
      <w:rPr/>
    </w:lvl>
    <w:lvl w:ilvl="4">
      <w:start w:val="1"/>
      <w:numFmt w:val="lowerLetter"/>
      <w:lvlText w:val="%5."/>
      <w:lvlJc w:val="left"/>
      <w:pPr>
        <w:tabs>
          <w:tab w:val="num" w:pos="0"/>
        </w:tabs>
        <w:ind w:left="3240" w:hanging="360"/>
      </w:pPr>
      <w:rPr/>
    </w:lvl>
    <w:lvl w:ilvl="5">
      <w:start w:val="1"/>
      <w:numFmt w:val="lowerRoman"/>
      <w:lvlText w:val="%6."/>
      <w:lvlJc w:val="right"/>
      <w:pPr>
        <w:tabs>
          <w:tab w:val="num" w:pos="0"/>
        </w:tabs>
        <w:ind w:left="3960" w:hanging="180"/>
      </w:pPr>
      <w:rPr/>
    </w:lvl>
    <w:lvl w:ilvl="6">
      <w:start w:val="1"/>
      <w:numFmt w:val="decimal"/>
      <w:lvlText w:val="%7."/>
      <w:lvlJc w:val="left"/>
      <w:pPr>
        <w:tabs>
          <w:tab w:val="num" w:pos="0"/>
        </w:tabs>
        <w:ind w:left="4680" w:hanging="360"/>
      </w:pPr>
      <w:rPr/>
    </w:lvl>
    <w:lvl w:ilvl="7">
      <w:start w:val="1"/>
      <w:numFmt w:val="lowerLetter"/>
      <w:lvlText w:val="%8."/>
      <w:lvlJc w:val="left"/>
      <w:pPr>
        <w:tabs>
          <w:tab w:val="num" w:pos="0"/>
        </w:tabs>
        <w:ind w:left="5400" w:hanging="360"/>
      </w:pPr>
      <w:rPr/>
    </w:lvl>
    <w:lvl w:ilvl="8">
      <w:start w:val="1"/>
      <w:numFmt w:val="lowerRoman"/>
      <w:lvlText w:val="%9."/>
      <w:lvlJc w:val="right"/>
      <w:pPr>
        <w:tabs>
          <w:tab w:val="num" w:pos="0"/>
        </w:tabs>
        <w:ind w:left="6120" w:hanging="180"/>
      </w:pPr>
      <w:rPr/>
    </w:lvl>
  </w:abstractNum>
  <w:abstractNum w:abstractNumId="19">
    <w:lvl w:ilvl="0">
      <w:start w:val="1"/>
      <w:numFmt w:val="decimal"/>
      <w:lvlText w:val="%1."/>
      <w:lvlJc w:val="left"/>
      <w:pPr>
        <w:tabs>
          <w:tab w:val="num" w:pos="0"/>
        </w:tabs>
        <w:ind w:left="360" w:hanging="360"/>
      </w:pPr>
      <w:rPr/>
    </w:lvl>
    <w:lvl w:ilvl="1">
      <w:start w:val="1"/>
      <w:numFmt w:val="lowerLetter"/>
      <w:lvlText w:val="%2."/>
      <w:lvlJc w:val="left"/>
      <w:pPr>
        <w:tabs>
          <w:tab w:val="num" w:pos="0"/>
        </w:tabs>
        <w:ind w:left="1080" w:hanging="360"/>
      </w:pPr>
      <w:rPr/>
    </w:lvl>
    <w:lvl w:ilvl="2">
      <w:start w:val="1"/>
      <w:numFmt w:val="lowerRoman"/>
      <w:lvlText w:val="%3."/>
      <w:lvlJc w:val="right"/>
      <w:pPr>
        <w:tabs>
          <w:tab w:val="num" w:pos="0"/>
        </w:tabs>
        <w:ind w:left="1800" w:hanging="180"/>
      </w:pPr>
      <w:rPr/>
    </w:lvl>
    <w:lvl w:ilvl="3">
      <w:start w:val="1"/>
      <w:numFmt w:val="decimal"/>
      <w:lvlText w:val="%4."/>
      <w:lvlJc w:val="left"/>
      <w:pPr>
        <w:tabs>
          <w:tab w:val="num" w:pos="0"/>
        </w:tabs>
        <w:ind w:left="2520" w:hanging="360"/>
      </w:pPr>
      <w:rPr/>
    </w:lvl>
    <w:lvl w:ilvl="4">
      <w:start w:val="1"/>
      <w:numFmt w:val="lowerLetter"/>
      <w:lvlText w:val="%5."/>
      <w:lvlJc w:val="left"/>
      <w:pPr>
        <w:tabs>
          <w:tab w:val="num" w:pos="0"/>
        </w:tabs>
        <w:ind w:left="3240" w:hanging="360"/>
      </w:pPr>
      <w:rPr/>
    </w:lvl>
    <w:lvl w:ilvl="5">
      <w:start w:val="1"/>
      <w:numFmt w:val="lowerRoman"/>
      <w:lvlText w:val="%6."/>
      <w:lvlJc w:val="right"/>
      <w:pPr>
        <w:tabs>
          <w:tab w:val="num" w:pos="0"/>
        </w:tabs>
        <w:ind w:left="3960" w:hanging="180"/>
      </w:pPr>
      <w:rPr/>
    </w:lvl>
    <w:lvl w:ilvl="6">
      <w:start w:val="1"/>
      <w:numFmt w:val="decimal"/>
      <w:lvlText w:val="%7."/>
      <w:lvlJc w:val="left"/>
      <w:pPr>
        <w:tabs>
          <w:tab w:val="num" w:pos="0"/>
        </w:tabs>
        <w:ind w:left="4680" w:hanging="360"/>
      </w:pPr>
      <w:rPr/>
    </w:lvl>
    <w:lvl w:ilvl="7">
      <w:start w:val="1"/>
      <w:numFmt w:val="lowerLetter"/>
      <w:lvlText w:val="%8."/>
      <w:lvlJc w:val="left"/>
      <w:pPr>
        <w:tabs>
          <w:tab w:val="num" w:pos="0"/>
        </w:tabs>
        <w:ind w:left="5400" w:hanging="360"/>
      </w:pPr>
      <w:rPr/>
    </w:lvl>
    <w:lvl w:ilvl="8">
      <w:start w:val="1"/>
      <w:numFmt w:val="lowerRoman"/>
      <w:lvlText w:val="%9."/>
      <w:lvlJc w:val="right"/>
      <w:pPr>
        <w:tabs>
          <w:tab w:val="num" w:pos="0"/>
        </w:tabs>
        <w:ind w:left="6120" w:hanging="180"/>
      </w:pPr>
      <w:rPr/>
    </w:lvl>
  </w:abstractNum>
  <w:abstractNum w:abstractNumId="20">
    <w:lvl w:ilvl="0">
      <w:start w:val="1"/>
      <w:numFmt w:val="lowerLetter"/>
      <w:lvlText w:val="%1."/>
      <w:lvlJc w:val="left"/>
      <w:pPr>
        <w:tabs>
          <w:tab w:val="num" w:pos="0"/>
        </w:tabs>
        <w:ind w:left="785"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21">
    <w:lvl w:ilvl="0">
      <w:start w:val="1"/>
      <w:numFmt w:val="lowerLetter"/>
      <w:lvlText w:val="%1."/>
      <w:lvlJc w:val="left"/>
      <w:pPr>
        <w:tabs>
          <w:tab w:val="num" w:pos="0"/>
        </w:tabs>
        <w:ind w:left="720"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22">
    <w:lvl w:ilvl="0">
      <w:start w:val="1"/>
      <w:numFmt w:val="decimal"/>
      <w:lvlText w:val="%1."/>
      <w:lvlJc w:val="left"/>
      <w:pPr>
        <w:tabs>
          <w:tab w:val="num" w:pos="0"/>
        </w:tabs>
        <w:ind w:left="360" w:hanging="360"/>
      </w:pPr>
      <w:rPr/>
    </w:lvl>
    <w:lvl w:ilvl="1">
      <w:start w:val="1"/>
      <w:numFmt w:val="decimal"/>
      <w:lvlText w:val="%1.%2"/>
      <w:lvlJc w:val="left"/>
      <w:pPr>
        <w:tabs>
          <w:tab w:val="num" w:pos="0"/>
        </w:tabs>
        <w:ind w:left="0" w:hanging="360"/>
      </w:pPr>
      <w:rPr/>
    </w:lvl>
    <w:lvl w:ilvl="2">
      <w:start w:val="1"/>
      <w:numFmt w:val="decimal"/>
      <w:lvlText w:val="%1.%2.%3"/>
      <w:lvlJc w:val="left"/>
      <w:pPr>
        <w:tabs>
          <w:tab w:val="num" w:pos="0"/>
        </w:tabs>
        <w:ind w:left="1136" w:hanging="720"/>
      </w:pPr>
      <w:rPr/>
    </w:lvl>
    <w:lvl w:ilvl="3">
      <w:start w:val="1"/>
      <w:numFmt w:val="decimal"/>
      <w:lvlText w:val="%1.%2.%3.%4"/>
      <w:lvlJc w:val="left"/>
      <w:pPr>
        <w:tabs>
          <w:tab w:val="num" w:pos="0"/>
        </w:tabs>
        <w:ind w:left="1344" w:hanging="720"/>
      </w:pPr>
      <w:rPr/>
    </w:lvl>
    <w:lvl w:ilvl="4">
      <w:start w:val="1"/>
      <w:numFmt w:val="decimal"/>
      <w:lvlText w:val="%1.%2.%3.%4.%5"/>
      <w:lvlJc w:val="left"/>
      <w:pPr>
        <w:tabs>
          <w:tab w:val="num" w:pos="0"/>
        </w:tabs>
        <w:ind w:left="1912" w:hanging="1080"/>
      </w:pPr>
      <w:rPr/>
    </w:lvl>
    <w:lvl w:ilvl="5">
      <w:start w:val="1"/>
      <w:numFmt w:val="decimal"/>
      <w:lvlText w:val="%1.%2.%3.%4.%5.%6"/>
      <w:lvlJc w:val="left"/>
      <w:pPr>
        <w:tabs>
          <w:tab w:val="num" w:pos="0"/>
        </w:tabs>
        <w:ind w:left="2120" w:hanging="1080"/>
      </w:pPr>
      <w:rPr/>
    </w:lvl>
    <w:lvl w:ilvl="6">
      <w:start w:val="1"/>
      <w:numFmt w:val="decimal"/>
      <w:lvlText w:val="%1.%2.%3.%4.%5.%6.%7"/>
      <w:lvlJc w:val="left"/>
      <w:pPr>
        <w:tabs>
          <w:tab w:val="num" w:pos="0"/>
        </w:tabs>
        <w:ind w:left="2688" w:hanging="1440"/>
      </w:pPr>
      <w:rPr/>
    </w:lvl>
    <w:lvl w:ilvl="7">
      <w:start w:val="1"/>
      <w:numFmt w:val="decimal"/>
      <w:lvlText w:val="%1.%2.%3.%4.%5.%6.%7.%8"/>
      <w:lvlJc w:val="left"/>
      <w:pPr>
        <w:tabs>
          <w:tab w:val="num" w:pos="0"/>
        </w:tabs>
        <w:ind w:left="2896" w:hanging="1440"/>
      </w:pPr>
      <w:rPr/>
    </w:lvl>
    <w:lvl w:ilvl="8">
      <w:start w:val="1"/>
      <w:numFmt w:val="decimal"/>
      <w:lvlText w:val="%1.%2.%3.%4.%5.%6.%7.%8.%9"/>
      <w:lvlJc w:val="left"/>
      <w:pPr>
        <w:tabs>
          <w:tab w:val="num" w:pos="0"/>
        </w:tabs>
        <w:ind w:left="3104" w:hanging="1440"/>
      </w:pPr>
      <w:rPr/>
    </w:lvl>
  </w:abstractNum>
  <w:abstractNum w:abstractNumId="23">
    <w:lvl w:ilvl="0">
      <w:start w:val="1"/>
      <w:numFmt w:val="decimal"/>
      <w:lvlText w:val="%1."/>
      <w:lvlJc w:val="left"/>
      <w:pPr>
        <w:tabs>
          <w:tab w:val="num" w:pos="0"/>
        </w:tabs>
        <w:ind w:left="360" w:hanging="360"/>
      </w:pPr>
      <w:rPr/>
    </w:lvl>
    <w:lvl w:ilvl="1">
      <w:start w:val="2"/>
      <w:numFmt w:val="decimal"/>
      <w:lvlText w:val="%1.%2"/>
      <w:lvlJc w:val="left"/>
      <w:pPr>
        <w:tabs>
          <w:tab w:val="num" w:pos="0"/>
        </w:tabs>
        <w:ind w:left="360" w:hanging="360"/>
      </w:pPr>
      <w:rPr/>
    </w:lvl>
    <w:lvl w:ilvl="2">
      <w:start w:val="1"/>
      <w:numFmt w:val="decimal"/>
      <w:lvlText w:val="%1.%2.%3"/>
      <w:lvlJc w:val="left"/>
      <w:pPr>
        <w:tabs>
          <w:tab w:val="num" w:pos="0"/>
        </w:tabs>
        <w:ind w:left="1856" w:hanging="720"/>
      </w:pPr>
      <w:rPr/>
    </w:lvl>
    <w:lvl w:ilvl="3">
      <w:start w:val="1"/>
      <w:numFmt w:val="decimal"/>
      <w:lvlText w:val="%1.%2.%3.%4"/>
      <w:lvlJc w:val="left"/>
      <w:pPr>
        <w:tabs>
          <w:tab w:val="num" w:pos="0"/>
        </w:tabs>
        <w:ind w:left="2424" w:hanging="720"/>
      </w:pPr>
      <w:rPr/>
    </w:lvl>
    <w:lvl w:ilvl="4">
      <w:start w:val="1"/>
      <w:numFmt w:val="decimal"/>
      <w:lvlText w:val="%1.%2.%3.%4.%5"/>
      <w:lvlJc w:val="left"/>
      <w:pPr>
        <w:tabs>
          <w:tab w:val="num" w:pos="0"/>
        </w:tabs>
        <w:ind w:left="3352" w:hanging="1080"/>
      </w:pPr>
      <w:rPr/>
    </w:lvl>
    <w:lvl w:ilvl="5">
      <w:start w:val="1"/>
      <w:numFmt w:val="decimal"/>
      <w:lvlText w:val="%1.%2.%3.%4.%5.%6"/>
      <w:lvlJc w:val="left"/>
      <w:pPr>
        <w:tabs>
          <w:tab w:val="num" w:pos="0"/>
        </w:tabs>
        <w:ind w:left="3920" w:hanging="1080"/>
      </w:pPr>
      <w:rPr/>
    </w:lvl>
    <w:lvl w:ilvl="6">
      <w:start w:val="1"/>
      <w:numFmt w:val="decimal"/>
      <w:lvlText w:val="%1.%2.%3.%4.%5.%6.%7"/>
      <w:lvlJc w:val="left"/>
      <w:pPr>
        <w:tabs>
          <w:tab w:val="num" w:pos="0"/>
        </w:tabs>
        <w:ind w:left="4848" w:hanging="1440"/>
      </w:pPr>
      <w:rPr/>
    </w:lvl>
    <w:lvl w:ilvl="7">
      <w:start w:val="1"/>
      <w:numFmt w:val="decimal"/>
      <w:lvlText w:val="%1.%2.%3.%4.%5.%6.%7.%8"/>
      <w:lvlJc w:val="left"/>
      <w:pPr>
        <w:tabs>
          <w:tab w:val="num" w:pos="0"/>
        </w:tabs>
        <w:ind w:left="5416" w:hanging="1440"/>
      </w:pPr>
      <w:rPr/>
    </w:lvl>
    <w:lvl w:ilvl="8">
      <w:start w:val="1"/>
      <w:numFmt w:val="decimal"/>
      <w:lvlText w:val="%1.%2.%3.%4.%5.%6.%7.%8.%9"/>
      <w:lvlJc w:val="left"/>
      <w:pPr>
        <w:tabs>
          <w:tab w:val="num" w:pos="0"/>
        </w:tabs>
        <w:ind w:left="5984" w:hanging="1440"/>
      </w:pPr>
      <w:rPr/>
    </w:lvl>
  </w:abstractNum>
  <w:abstractNum w:abstractNumId="24">
    <w:lvl w:ilvl="0">
      <w:start w:val="1"/>
      <w:numFmt w:val="decimal"/>
      <w:lvlText w:val="%1."/>
      <w:lvlJc w:val="left"/>
      <w:pPr>
        <w:tabs>
          <w:tab w:val="num" w:pos="0"/>
        </w:tabs>
        <w:ind w:left="360" w:hanging="360"/>
      </w:pPr>
      <w:rPr/>
    </w:lvl>
    <w:lvl w:ilvl="1">
      <w:start w:val="3"/>
      <w:numFmt w:val="decimal"/>
      <w:lvlText w:val="%1.%2"/>
      <w:lvlJc w:val="left"/>
      <w:pPr>
        <w:tabs>
          <w:tab w:val="num" w:pos="0"/>
        </w:tabs>
        <w:ind w:left="360" w:hanging="360"/>
      </w:pPr>
      <w:rPr/>
    </w:lvl>
    <w:lvl w:ilvl="2">
      <w:start w:val="1"/>
      <w:numFmt w:val="decimal"/>
      <w:lvlText w:val="%1.%2.%3"/>
      <w:lvlJc w:val="left"/>
      <w:pPr>
        <w:tabs>
          <w:tab w:val="num" w:pos="0"/>
        </w:tabs>
        <w:ind w:left="1856" w:hanging="720"/>
      </w:pPr>
      <w:rPr/>
    </w:lvl>
    <w:lvl w:ilvl="3">
      <w:start w:val="1"/>
      <w:numFmt w:val="decimal"/>
      <w:lvlText w:val="%1.%2.%3.%4"/>
      <w:lvlJc w:val="left"/>
      <w:pPr>
        <w:tabs>
          <w:tab w:val="num" w:pos="0"/>
        </w:tabs>
        <w:ind w:left="2424" w:hanging="720"/>
      </w:pPr>
      <w:rPr/>
    </w:lvl>
    <w:lvl w:ilvl="4">
      <w:start w:val="1"/>
      <w:numFmt w:val="decimal"/>
      <w:lvlText w:val="%1.%2.%3.%4.%5"/>
      <w:lvlJc w:val="left"/>
      <w:pPr>
        <w:tabs>
          <w:tab w:val="num" w:pos="0"/>
        </w:tabs>
        <w:ind w:left="3352" w:hanging="1080"/>
      </w:pPr>
      <w:rPr/>
    </w:lvl>
    <w:lvl w:ilvl="5">
      <w:start w:val="1"/>
      <w:numFmt w:val="decimal"/>
      <w:lvlText w:val="%1.%2.%3.%4.%5.%6"/>
      <w:lvlJc w:val="left"/>
      <w:pPr>
        <w:tabs>
          <w:tab w:val="num" w:pos="0"/>
        </w:tabs>
        <w:ind w:left="3920" w:hanging="1080"/>
      </w:pPr>
      <w:rPr/>
    </w:lvl>
    <w:lvl w:ilvl="6">
      <w:start w:val="1"/>
      <w:numFmt w:val="decimal"/>
      <w:lvlText w:val="%1.%2.%3.%4.%5.%6.%7"/>
      <w:lvlJc w:val="left"/>
      <w:pPr>
        <w:tabs>
          <w:tab w:val="num" w:pos="0"/>
        </w:tabs>
        <w:ind w:left="4848" w:hanging="1440"/>
      </w:pPr>
      <w:rPr/>
    </w:lvl>
    <w:lvl w:ilvl="7">
      <w:start w:val="1"/>
      <w:numFmt w:val="decimal"/>
      <w:lvlText w:val="%1.%2.%3.%4.%5.%6.%7.%8"/>
      <w:lvlJc w:val="left"/>
      <w:pPr>
        <w:tabs>
          <w:tab w:val="num" w:pos="0"/>
        </w:tabs>
        <w:ind w:left="5416" w:hanging="1440"/>
      </w:pPr>
      <w:rPr/>
    </w:lvl>
    <w:lvl w:ilvl="8">
      <w:start w:val="1"/>
      <w:numFmt w:val="decimal"/>
      <w:lvlText w:val="%1.%2.%3.%4.%5.%6.%7.%8.%9"/>
      <w:lvlJc w:val="left"/>
      <w:pPr>
        <w:tabs>
          <w:tab w:val="num" w:pos="0"/>
        </w:tabs>
        <w:ind w:left="5984" w:hanging="1440"/>
      </w:pPr>
      <w:rPr/>
    </w:lvl>
  </w:abstractNum>
  <w:abstractNum w:abstractNumId="25">
    <w:lvl w:ilvl="0">
      <w:start w:val="1"/>
      <w:numFmt w:val="decimal"/>
      <w:lvlText w:val="%1."/>
      <w:lvlJc w:val="left"/>
      <w:pPr>
        <w:tabs>
          <w:tab w:val="num" w:pos="0"/>
        </w:tabs>
        <w:ind w:left="360" w:hanging="360"/>
      </w:pPr>
      <w:rPr/>
    </w:lvl>
    <w:lvl w:ilvl="1">
      <w:start w:val="1"/>
      <w:numFmt w:val="lowerLetter"/>
      <w:lvlText w:val="%2."/>
      <w:lvlJc w:val="left"/>
      <w:pPr>
        <w:tabs>
          <w:tab w:val="num" w:pos="0"/>
        </w:tabs>
        <w:ind w:left="1080" w:hanging="360"/>
      </w:pPr>
      <w:rPr/>
    </w:lvl>
    <w:lvl w:ilvl="2">
      <w:start w:val="1"/>
      <w:numFmt w:val="lowerRoman"/>
      <w:lvlText w:val="%3."/>
      <w:lvlJc w:val="right"/>
      <w:pPr>
        <w:tabs>
          <w:tab w:val="num" w:pos="0"/>
        </w:tabs>
        <w:ind w:left="1800" w:hanging="180"/>
      </w:pPr>
      <w:rPr/>
    </w:lvl>
    <w:lvl w:ilvl="3">
      <w:start w:val="1"/>
      <w:numFmt w:val="decimal"/>
      <w:lvlText w:val="%4."/>
      <w:lvlJc w:val="left"/>
      <w:pPr>
        <w:tabs>
          <w:tab w:val="num" w:pos="0"/>
        </w:tabs>
        <w:ind w:left="2520" w:hanging="360"/>
      </w:pPr>
      <w:rPr/>
    </w:lvl>
    <w:lvl w:ilvl="4">
      <w:start w:val="1"/>
      <w:numFmt w:val="lowerLetter"/>
      <w:lvlText w:val="%5."/>
      <w:lvlJc w:val="left"/>
      <w:pPr>
        <w:tabs>
          <w:tab w:val="num" w:pos="0"/>
        </w:tabs>
        <w:ind w:left="3240" w:hanging="360"/>
      </w:pPr>
      <w:rPr/>
    </w:lvl>
    <w:lvl w:ilvl="5">
      <w:start w:val="1"/>
      <w:numFmt w:val="lowerRoman"/>
      <w:lvlText w:val="%6."/>
      <w:lvlJc w:val="right"/>
      <w:pPr>
        <w:tabs>
          <w:tab w:val="num" w:pos="0"/>
        </w:tabs>
        <w:ind w:left="3960" w:hanging="180"/>
      </w:pPr>
      <w:rPr/>
    </w:lvl>
    <w:lvl w:ilvl="6">
      <w:start w:val="1"/>
      <w:numFmt w:val="decimal"/>
      <w:lvlText w:val="%7."/>
      <w:lvlJc w:val="left"/>
      <w:pPr>
        <w:tabs>
          <w:tab w:val="num" w:pos="0"/>
        </w:tabs>
        <w:ind w:left="4680" w:hanging="360"/>
      </w:pPr>
      <w:rPr/>
    </w:lvl>
    <w:lvl w:ilvl="7">
      <w:start w:val="1"/>
      <w:numFmt w:val="lowerLetter"/>
      <w:lvlText w:val="%8."/>
      <w:lvlJc w:val="left"/>
      <w:pPr>
        <w:tabs>
          <w:tab w:val="num" w:pos="0"/>
        </w:tabs>
        <w:ind w:left="5400" w:hanging="360"/>
      </w:pPr>
      <w:rPr/>
    </w:lvl>
    <w:lvl w:ilvl="8">
      <w:start w:val="1"/>
      <w:numFmt w:val="lowerRoman"/>
      <w:lvlText w:val="%9."/>
      <w:lvlJc w:val="right"/>
      <w:pPr>
        <w:tabs>
          <w:tab w:val="num" w:pos="0"/>
        </w:tabs>
        <w:ind w:left="6120" w:hanging="180"/>
      </w:pPr>
      <w:rPr/>
    </w:lvl>
  </w:abstractNum>
  <w:abstractNum w:abstractNumId="26">
    <w:lvl w:ilvl="0">
      <w:start w:val="1"/>
      <w:numFmt w:val="decimal"/>
      <w:lvlText w:val="%1."/>
      <w:lvlJc w:val="left"/>
      <w:pPr>
        <w:tabs>
          <w:tab w:val="num" w:pos="0"/>
        </w:tabs>
        <w:ind w:left="360" w:hanging="360"/>
      </w:pPr>
      <w:rPr/>
    </w:lvl>
    <w:lvl w:ilvl="1">
      <w:start w:val="1"/>
      <w:numFmt w:val="lowerLetter"/>
      <w:lvlText w:val="%2."/>
      <w:lvlJc w:val="left"/>
      <w:pPr>
        <w:tabs>
          <w:tab w:val="num" w:pos="0"/>
        </w:tabs>
        <w:ind w:left="1080" w:hanging="360"/>
      </w:pPr>
      <w:rPr/>
    </w:lvl>
    <w:lvl w:ilvl="2">
      <w:start w:val="1"/>
      <w:numFmt w:val="lowerRoman"/>
      <w:lvlText w:val="%3."/>
      <w:lvlJc w:val="right"/>
      <w:pPr>
        <w:tabs>
          <w:tab w:val="num" w:pos="0"/>
        </w:tabs>
        <w:ind w:left="1800" w:hanging="180"/>
      </w:pPr>
      <w:rPr/>
    </w:lvl>
    <w:lvl w:ilvl="3">
      <w:start w:val="1"/>
      <w:numFmt w:val="decimal"/>
      <w:lvlText w:val="%4."/>
      <w:lvlJc w:val="left"/>
      <w:pPr>
        <w:tabs>
          <w:tab w:val="num" w:pos="0"/>
        </w:tabs>
        <w:ind w:left="2520" w:hanging="360"/>
      </w:pPr>
      <w:rPr/>
    </w:lvl>
    <w:lvl w:ilvl="4">
      <w:start w:val="1"/>
      <w:numFmt w:val="lowerLetter"/>
      <w:lvlText w:val="%5."/>
      <w:lvlJc w:val="left"/>
      <w:pPr>
        <w:tabs>
          <w:tab w:val="num" w:pos="0"/>
        </w:tabs>
        <w:ind w:left="3240" w:hanging="360"/>
      </w:pPr>
      <w:rPr/>
    </w:lvl>
    <w:lvl w:ilvl="5">
      <w:start w:val="1"/>
      <w:numFmt w:val="lowerRoman"/>
      <w:lvlText w:val="%6."/>
      <w:lvlJc w:val="right"/>
      <w:pPr>
        <w:tabs>
          <w:tab w:val="num" w:pos="0"/>
        </w:tabs>
        <w:ind w:left="3960" w:hanging="180"/>
      </w:pPr>
      <w:rPr/>
    </w:lvl>
    <w:lvl w:ilvl="6">
      <w:start w:val="1"/>
      <w:numFmt w:val="decimal"/>
      <w:lvlText w:val="%7."/>
      <w:lvlJc w:val="left"/>
      <w:pPr>
        <w:tabs>
          <w:tab w:val="num" w:pos="0"/>
        </w:tabs>
        <w:ind w:left="4680" w:hanging="360"/>
      </w:pPr>
      <w:rPr/>
    </w:lvl>
    <w:lvl w:ilvl="7">
      <w:start w:val="1"/>
      <w:numFmt w:val="lowerLetter"/>
      <w:lvlText w:val="%8."/>
      <w:lvlJc w:val="left"/>
      <w:pPr>
        <w:tabs>
          <w:tab w:val="num" w:pos="0"/>
        </w:tabs>
        <w:ind w:left="5400" w:hanging="360"/>
      </w:pPr>
      <w:rPr/>
    </w:lvl>
    <w:lvl w:ilvl="8">
      <w:start w:val="1"/>
      <w:numFmt w:val="lowerRoman"/>
      <w:lvlText w:val="%9."/>
      <w:lvlJc w:val="right"/>
      <w:pPr>
        <w:tabs>
          <w:tab w:val="num" w:pos="0"/>
        </w:tabs>
        <w:ind w:left="6120" w:hanging="180"/>
      </w:pPr>
      <w:rPr/>
    </w:lvl>
  </w:abstractNum>
  <w:abstractNum w:abstractNumId="27">
    <w:lvl w:ilvl="0">
      <w:start w:val="1"/>
      <w:numFmt w:val="lowerLetter"/>
      <w:lvlText w:val="%1."/>
      <w:lvlJc w:val="left"/>
      <w:pPr>
        <w:tabs>
          <w:tab w:val="num" w:pos="0"/>
        </w:tabs>
        <w:ind w:left="720"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28">
    <w:lvl w:ilvl="0">
      <w:start w:val="1"/>
      <w:numFmt w:val="decimal"/>
      <w:lvlText w:val="%1."/>
      <w:lvlJc w:val="left"/>
      <w:pPr>
        <w:tabs>
          <w:tab w:val="num" w:pos="0"/>
        </w:tabs>
        <w:ind w:left="360" w:hanging="360"/>
      </w:pPr>
      <w:rPr/>
    </w:lvl>
    <w:lvl w:ilvl="1">
      <w:start w:val="7"/>
      <w:numFmt w:val="decimal"/>
      <w:lvlText w:val="%1.%2"/>
      <w:lvlJc w:val="left"/>
      <w:pPr>
        <w:tabs>
          <w:tab w:val="num" w:pos="0"/>
        </w:tabs>
        <w:ind w:left="360" w:hanging="360"/>
      </w:pPr>
      <w:rPr/>
    </w:lvl>
    <w:lvl w:ilvl="2">
      <w:start w:val="1"/>
      <w:numFmt w:val="decimal"/>
      <w:lvlText w:val="%1.%2.%3"/>
      <w:lvlJc w:val="left"/>
      <w:pPr>
        <w:tabs>
          <w:tab w:val="num" w:pos="0"/>
        </w:tabs>
        <w:ind w:left="720" w:hanging="720"/>
      </w:pPr>
      <w:rPr/>
    </w:lvl>
    <w:lvl w:ilvl="3">
      <w:start w:val="1"/>
      <w:numFmt w:val="decimal"/>
      <w:lvlText w:val="%1.%2.%3.%4"/>
      <w:lvlJc w:val="left"/>
      <w:pPr>
        <w:tabs>
          <w:tab w:val="num" w:pos="0"/>
        </w:tabs>
        <w:ind w:left="720" w:hanging="720"/>
      </w:pPr>
      <w:rPr/>
    </w:lvl>
    <w:lvl w:ilvl="4">
      <w:start w:val="1"/>
      <w:numFmt w:val="decimal"/>
      <w:lvlText w:val="%1.%2.%3.%4.%5"/>
      <w:lvlJc w:val="left"/>
      <w:pPr>
        <w:tabs>
          <w:tab w:val="num" w:pos="0"/>
        </w:tabs>
        <w:ind w:left="1080" w:hanging="1080"/>
      </w:pPr>
      <w:rPr/>
    </w:lvl>
    <w:lvl w:ilvl="5">
      <w:start w:val="1"/>
      <w:numFmt w:val="decimal"/>
      <w:lvlText w:val="%1.%2.%3.%4.%5.%6"/>
      <w:lvlJc w:val="left"/>
      <w:pPr>
        <w:tabs>
          <w:tab w:val="num" w:pos="0"/>
        </w:tabs>
        <w:ind w:left="1080" w:hanging="1080"/>
      </w:pPr>
      <w:rPr/>
    </w:lvl>
    <w:lvl w:ilvl="6">
      <w:start w:val="1"/>
      <w:numFmt w:val="decimal"/>
      <w:lvlText w:val="%1.%2.%3.%4.%5.%6.%7"/>
      <w:lvlJc w:val="left"/>
      <w:pPr>
        <w:tabs>
          <w:tab w:val="num" w:pos="0"/>
        </w:tabs>
        <w:ind w:left="1440" w:hanging="1440"/>
      </w:pPr>
      <w:rPr/>
    </w:lvl>
    <w:lvl w:ilvl="7">
      <w:start w:val="1"/>
      <w:numFmt w:val="decimal"/>
      <w:lvlText w:val="%1.%2.%3.%4.%5.%6.%7.%8"/>
      <w:lvlJc w:val="left"/>
      <w:pPr>
        <w:tabs>
          <w:tab w:val="num" w:pos="0"/>
        </w:tabs>
        <w:ind w:left="1440" w:hanging="1440"/>
      </w:pPr>
      <w:rPr/>
    </w:lvl>
    <w:lvl w:ilvl="8">
      <w:start w:val="1"/>
      <w:numFmt w:val="decimal"/>
      <w:lvlText w:val="%1.%2.%3.%4.%5.%6.%7.%8.%9"/>
      <w:lvlJc w:val="left"/>
      <w:pPr>
        <w:tabs>
          <w:tab w:val="num" w:pos="0"/>
        </w:tabs>
        <w:ind w:left="1440" w:hanging="1440"/>
      </w:pPr>
      <w:rPr/>
    </w:lvl>
  </w:abstractNum>
  <w:abstractNum w:abstractNumId="29">
    <w:lvl w:ilvl="0">
      <w:start w:val="1"/>
      <w:numFmt w:val="decimal"/>
      <w:lvlText w:val="%1."/>
      <w:lvlJc w:val="left"/>
      <w:pPr>
        <w:tabs>
          <w:tab w:val="num" w:pos="0"/>
        </w:tabs>
        <w:ind w:left="360" w:hanging="360"/>
      </w:pPr>
      <w:rPr/>
    </w:lvl>
    <w:lvl w:ilvl="1">
      <w:start w:val="1"/>
      <w:numFmt w:val="lowerLetter"/>
      <w:lvlText w:val="%2."/>
      <w:lvlJc w:val="left"/>
      <w:pPr>
        <w:tabs>
          <w:tab w:val="num" w:pos="0"/>
        </w:tabs>
        <w:ind w:left="1080" w:hanging="360"/>
      </w:pPr>
      <w:rPr/>
    </w:lvl>
    <w:lvl w:ilvl="2">
      <w:start w:val="1"/>
      <w:numFmt w:val="lowerRoman"/>
      <w:lvlText w:val="%3."/>
      <w:lvlJc w:val="right"/>
      <w:pPr>
        <w:tabs>
          <w:tab w:val="num" w:pos="0"/>
        </w:tabs>
        <w:ind w:left="1800" w:hanging="180"/>
      </w:pPr>
      <w:rPr/>
    </w:lvl>
    <w:lvl w:ilvl="3">
      <w:start w:val="1"/>
      <w:numFmt w:val="decimal"/>
      <w:lvlText w:val="%4."/>
      <w:lvlJc w:val="left"/>
      <w:pPr>
        <w:tabs>
          <w:tab w:val="num" w:pos="0"/>
        </w:tabs>
        <w:ind w:left="2520" w:hanging="360"/>
      </w:pPr>
      <w:rPr/>
    </w:lvl>
    <w:lvl w:ilvl="4">
      <w:start w:val="1"/>
      <w:numFmt w:val="lowerLetter"/>
      <w:lvlText w:val="%5."/>
      <w:lvlJc w:val="left"/>
      <w:pPr>
        <w:tabs>
          <w:tab w:val="num" w:pos="0"/>
        </w:tabs>
        <w:ind w:left="3240" w:hanging="360"/>
      </w:pPr>
      <w:rPr/>
    </w:lvl>
    <w:lvl w:ilvl="5">
      <w:start w:val="1"/>
      <w:numFmt w:val="lowerRoman"/>
      <w:lvlText w:val="%6."/>
      <w:lvlJc w:val="right"/>
      <w:pPr>
        <w:tabs>
          <w:tab w:val="num" w:pos="0"/>
        </w:tabs>
        <w:ind w:left="3960" w:hanging="180"/>
      </w:pPr>
      <w:rPr/>
    </w:lvl>
    <w:lvl w:ilvl="6">
      <w:start w:val="1"/>
      <w:numFmt w:val="decimal"/>
      <w:lvlText w:val="%7."/>
      <w:lvlJc w:val="left"/>
      <w:pPr>
        <w:tabs>
          <w:tab w:val="num" w:pos="0"/>
        </w:tabs>
        <w:ind w:left="4680" w:hanging="360"/>
      </w:pPr>
      <w:rPr/>
    </w:lvl>
    <w:lvl w:ilvl="7">
      <w:start w:val="1"/>
      <w:numFmt w:val="lowerLetter"/>
      <w:lvlText w:val="%8."/>
      <w:lvlJc w:val="left"/>
      <w:pPr>
        <w:tabs>
          <w:tab w:val="num" w:pos="0"/>
        </w:tabs>
        <w:ind w:left="5400" w:hanging="360"/>
      </w:pPr>
      <w:rPr/>
    </w:lvl>
    <w:lvl w:ilvl="8">
      <w:start w:val="1"/>
      <w:numFmt w:val="lowerRoman"/>
      <w:lvlText w:val="%9."/>
      <w:lvlJc w:val="right"/>
      <w:pPr>
        <w:tabs>
          <w:tab w:val="num" w:pos="0"/>
        </w:tabs>
        <w:ind w:left="6120" w:hanging="180"/>
      </w:pPr>
      <w:rPr/>
    </w:lvl>
  </w:abstractNum>
  <w:abstractNum w:abstractNumId="30">
    <w:lvl w:ilvl="0">
      <w:start w:val="1"/>
      <w:numFmt w:val="decimal"/>
      <w:lvlText w:val="%1."/>
      <w:lvlJc w:val="left"/>
      <w:pPr>
        <w:tabs>
          <w:tab w:val="num" w:pos="0"/>
        </w:tabs>
        <w:ind w:left="360" w:hanging="360"/>
      </w:pPr>
      <w:rPr/>
    </w:lvl>
    <w:lvl w:ilvl="1">
      <w:start w:val="1"/>
      <w:numFmt w:val="lowerLetter"/>
      <w:lvlText w:val="%2."/>
      <w:lvlJc w:val="left"/>
      <w:pPr>
        <w:tabs>
          <w:tab w:val="num" w:pos="0"/>
        </w:tabs>
        <w:ind w:left="1080" w:hanging="360"/>
      </w:pPr>
      <w:rPr/>
    </w:lvl>
    <w:lvl w:ilvl="2">
      <w:start w:val="1"/>
      <w:numFmt w:val="lowerRoman"/>
      <w:lvlText w:val="%3."/>
      <w:lvlJc w:val="right"/>
      <w:pPr>
        <w:tabs>
          <w:tab w:val="num" w:pos="0"/>
        </w:tabs>
        <w:ind w:left="1800" w:hanging="180"/>
      </w:pPr>
      <w:rPr/>
    </w:lvl>
    <w:lvl w:ilvl="3">
      <w:start w:val="1"/>
      <w:numFmt w:val="decimal"/>
      <w:lvlText w:val="%4."/>
      <w:lvlJc w:val="left"/>
      <w:pPr>
        <w:tabs>
          <w:tab w:val="num" w:pos="0"/>
        </w:tabs>
        <w:ind w:left="2520" w:hanging="360"/>
      </w:pPr>
      <w:rPr/>
    </w:lvl>
    <w:lvl w:ilvl="4">
      <w:start w:val="1"/>
      <w:numFmt w:val="lowerLetter"/>
      <w:lvlText w:val="%5."/>
      <w:lvlJc w:val="left"/>
      <w:pPr>
        <w:tabs>
          <w:tab w:val="num" w:pos="0"/>
        </w:tabs>
        <w:ind w:left="3240" w:hanging="360"/>
      </w:pPr>
      <w:rPr/>
    </w:lvl>
    <w:lvl w:ilvl="5">
      <w:start w:val="1"/>
      <w:numFmt w:val="lowerRoman"/>
      <w:lvlText w:val="%6."/>
      <w:lvlJc w:val="right"/>
      <w:pPr>
        <w:tabs>
          <w:tab w:val="num" w:pos="0"/>
        </w:tabs>
        <w:ind w:left="3960" w:hanging="180"/>
      </w:pPr>
      <w:rPr/>
    </w:lvl>
    <w:lvl w:ilvl="6">
      <w:start w:val="1"/>
      <w:numFmt w:val="decimal"/>
      <w:lvlText w:val="%7."/>
      <w:lvlJc w:val="left"/>
      <w:pPr>
        <w:tabs>
          <w:tab w:val="num" w:pos="0"/>
        </w:tabs>
        <w:ind w:left="4680" w:hanging="360"/>
      </w:pPr>
      <w:rPr/>
    </w:lvl>
    <w:lvl w:ilvl="7">
      <w:start w:val="1"/>
      <w:numFmt w:val="lowerLetter"/>
      <w:lvlText w:val="%8."/>
      <w:lvlJc w:val="left"/>
      <w:pPr>
        <w:tabs>
          <w:tab w:val="num" w:pos="0"/>
        </w:tabs>
        <w:ind w:left="5400" w:hanging="360"/>
      </w:pPr>
      <w:rPr/>
    </w:lvl>
    <w:lvl w:ilvl="8">
      <w:start w:val="1"/>
      <w:numFmt w:val="lowerRoman"/>
      <w:lvlText w:val="%9."/>
      <w:lvlJc w:val="right"/>
      <w:pPr>
        <w:tabs>
          <w:tab w:val="num" w:pos="0"/>
        </w:tabs>
        <w:ind w:left="6120" w:hanging="180"/>
      </w:pPr>
      <w:rPr/>
    </w:lvl>
  </w:abstractNum>
  <w:abstractNum w:abstractNumId="31">
    <w:lvl w:ilvl="0">
      <w:start w:val="1"/>
      <w:numFmt w:val="decimal"/>
      <w:lvlText w:val="%1."/>
      <w:lvlJc w:val="left"/>
      <w:pPr>
        <w:tabs>
          <w:tab w:val="num" w:pos="0"/>
        </w:tabs>
        <w:ind w:left="360" w:hanging="360"/>
      </w:pPr>
      <w:rPr/>
    </w:lvl>
    <w:lvl w:ilvl="1">
      <w:start w:val="1"/>
      <w:numFmt w:val="lowerLetter"/>
      <w:lvlText w:val="%2."/>
      <w:lvlJc w:val="left"/>
      <w:pPr>
        <w:tabs>
          <w:tab w:val="num" w:pos="0"/>
        </w:tabs>
        <w:ind w:left="1080" w:hanging="360"/>
      </w:pPr>
      <w:rPr/>
    </w:lvl>
    <w:lvl w:ilvl="2">
      <w:start w:val="1"/>
      <w:numFmt w:val="lowerRoman"/>
      <w:lvlText w:val="%3."/>
      <w:lvlJc w:val="right"/>
      <w:pPr>
        <w:tabs>
          <w:tab w:val="num" w:pos="0"/>
        </w:tabs>
        <w:ind w:left="1800" w:hanging="180"/>
      </w:pPr>
      <w:rPr/>
    </w:lvl>
    <w:lvl w:ilvl="3">
      <w:start w:val="1"/>
      <w:numFmt w:val="decimal"/>
      <w:lvlText w:val="%4."/>
      <w:lvlJc w:val="left"/>
      <w:pPr>
        <w:tabs>
          <w:tab w:val="num" w:pos="0"/>
        </w:tabs>
        <w:ind w:left="2520" w:hanging="360"/>
      </w:pPr>
      <w:rPr/>
    </w:lvl>
    <w:lvl w:ilvl="4">
      <w:start w:val="1"/>
      <w:numFmt w:val="lowerLetter"/>
      <w:lvlText w:val="%5."/>
      <w:lvlJc w:val="left"/>
      <w:pPr>
        <w:tabs>
          <w:tab w:val="num" w:pos="0"/>
        </w:tabs>
        <w:ind w:left="3240" w:hanging="360"/>
      </w:pPr>
      <w:rPr/>
    </w:lvl>
    <w:lvl w:ilvl="5">
      <w:start w:val="1"/>
      <w:numFmt w:val="lowerRoman"/>
      <w:lvlText w:val="%6."/>
      <w:lvlJc w:val="right"/>
      <w:pPr>
        <w:tabs>
          <w:tab w:val="num" w:pos="0"/>
        </w:tabs>
        <w:ind w:left="3960" w:hanging="180"/>
      </w:pPr>
      <w:rPr/>
    </w:lvl>
    <w:lvl w:ilvl="6">
      <w:start w:val="1"/>
      <w:numFmt w:val="decimal"/>
      <w:lvlText w:val="%7."/>
      <w:lvlJc w:val="left"/>
      <w:pPr>
        <w:tabs>
          <w:tab w:val="num" w:pos="0"/>
        </w:tabs>
        <w:ind w:left="4680" w:hanging="360"/>
      </w:pPr>
      <w:rPr/>
    </w:lvl>
    <w:lvl w:ilvl="7">
      <w:start w:val="1"/>
      <w:numFmt w:val="lowerLetter"/>
      <w:lvlText w:val="%8."/>
      <w:lvlJc w:val="left"/>
      <w:pPr>
        <w:tabs>
          <w:tab w:val="num" w:pos="0"/>
        </w:tabs>
        <w:ind w:left="5400" w:hanging="360"/>
      </w:pPr>
      <w:rPr/>
    </w:lvl>
    <w:lvl w:ilvl="8">
      <w:start w:val="1"/>
      <w:numFmt w:val="lowerRoman"/>
      <w:lvlText w:val="%9."/>
      <w:lvlJc w:val="right"/>
      <w:pPr>
        <w:tabs>
          <w:tab w:val="num" w:pos="0"/>
        </w:tabs>
        <w:ind w:left="6120" w:hanging="180"/>
      </w:pPr>
      <w:rPr/>
    </w:lvl>
  </w:abstractNum>
  <w:abstractNum w:abstractNumId="32">
    <w:lvl w:ilvl="0">
      <w:start w:val="1"/>
      <w:numFmt w:val="decimal"/>
      <w:lvlText w:val="%1."/>
      <w:lvlJc w:val="left"/>
      <w:pPr>
        <w:tabs>
          <w:tab w:val="num" w:pos="0"/>
        </w:tabs>
        <w:ind w:left="360" w:hanging="360"/>
      </w:pPr>
      <w:rPr/>
    </w:lvl>
    <w:lvl w:ilvl="1">
      <w:start w:val="1"/>
      <w:numFmt w:val="lowerLetter"/>
      <w:lvlText w:val="%2."/>
      <w:lvlJc w:val="left"/>
      <w:pPr>
        <w:tabs>
          <w:tab w:val="num" w:pos="0"/>
        </w:tabs>
        <w:ind w:left="1080" w:hanging="360"/>
      </w:pPr>
      <w:rPr/>
    </w:lvl>
    <w:lvl w:ilvl="2">
      <w:start w:val="1"/>
      <w:numFmt w:val="lowerRoman"/>
      <w:lvlText w:val="%3."/>
      <w:lvlJc w:val="right"/>
      <w:pPr>
        <w:tabs>
          <w:tab w:val="num" w:pos="0"/>
        </w:tabs>
        <w:ind w:left="1800" w:hanging="180"/>
      </w:pPr>
      <w:rPr/>
    </w:lvl>
    <w:lvl w:ilvl="3">
      <w:start w:val="1"/>
      <w:numFmt w:val="decimal"/>
      <w:lvlText w:val="%4."/>
      <w:lvlJc w:val="left"/>
      <w:pPr>
        <w:tabs>
          <w:tab w:val="num" w:pos="0"/>
        </w:tabs>
        <w:ind w:left="2520" w:hanging="360"/>
      </w:pPr>
      <w:rPr/>
    </w:lvl>
    <w:lvl w:ilvl="4">
      <w:start w:val="1"/>
      <w:numFmt w:val="lowerLetter"/>
      <w:lvlText w:val="%5."/>
      <w:lvlJc w:val="left"/>
      <w:pPr>
        <w:tabs>
          <w:tab w:val="num" w:pos="0"/>
        </w:tabs>
        <w:ind w:left="3240" w:hanging="360"/>
      </w:pPr>
      <w:rPr/>
    </w:lvl>
    <w:lvl w:ilvl="5">
      <w:start w:val="1"/>
      <w:numFmt w:val="lowerRoman"/>
      <w:lvlText w:val="%6."/>
      <w:lvlJc w:val="right"/>
      <w:pPr>
        <w:tabs>
          <w:tab w:val="num" w:pos="0"/>
        </w:tabs>
        <w:ind w:left="3960" w:hanging="180"/>
      </w:pPr>
      <w:rPr/>
    </w:lvl>
    <w:lvl w:ilvl="6">
      <w:start w:val="1"/>
      <w:numFmt w:val="decimal"/>
      <w:lvlText w:val="%7."/>
      <w:lvlJc w:val="left"/>
      <w:pPr>
        <w:tabs>
          <w:tab w:val="num" w:pos="0"/>
        </w:tabs>
        <w:ind w:left="4680" w:hanging="360"/>
      </w:pPr>
      <w:rPr/>
    </w:lvl>
    <w:lvl w:ilvl="7">
      <w:start w:val="1"/>
      <w:numFmt w:val="lowerLetter"/>
      <w:lvlText w:val="%8."/>
      <w:lvlJc w:val="left"/>
      <w:pPr>
        <w:tabs>
          <w:tab w:val="num" w:pos="0"/>
        </w:tabs>
        <w:ind w:left="5400" w:hanging="360"/>
      </w:pPr>
      <w:rPr/>
    </w:lvl>
    <w:lvl w:ilvl="8">
      <w:start w:val="1"/>
      <w:numFmt w:val="lowerRoman"/>
      <w:lvlText w:val="%9."/>
      <w:lvlJc w:val="right"/>
      <w:pPr>
        <w:tabs>
          <w:tab w:val="num" w:pos="0"/>
        </w:tabs>
        <w:ind w:left="6120" w:hanging="180"/>
      </w:pPr>
      <w:rPr/>
    </w:lvl>
  </w:abstractNum>
  <w:abstractNum w:abstractNumId="33">
    <w:lvl w:ilvl="0">
      <w:start w:val="1"/>
      <w:numFmt w:val="decimal"/>
      <w:lvlText w:val="%1."/>
      <w:lvlJc w:val="left"/>
      <w:pPr>
        <w:tabs>
          <w:tab w:val="num" w:pos="0"/>
        </w:tabs>
        <w:ind w:left="360" w:hanging="360"/>
      </w:pPr>
      <w:rPr/>
    </w:lvl>
    <w:lvl w:ilvl="1">
      <w:start w:val="8"/>
      <w:numFmt w:val="decimal"/>
      <w:lvlText w:val="%1.%2"/>
      <w:lvlJc w:val="left"/>
      <w:pPr>
        <w:tabs>
          <w:tab w:val="num" w:pos="0"/>
        </w:tabs>
        <w:ind w:left="360" w:hanging="360"/>
      </w:pPr>
      <w:rPr/>
    </w:lvl>
    <w:lvl w:ilvl="2">
      <w:start w:val="1"/>
      <w:numFmt w:val="decimal"/>
      <w:lvlText w:val="%1.%2.%3"/>
      <w:lvlJc w:val="left"/>
      <w:pPr>
        <w:tabs>
          <w:tab w:val="num" w:pos="0"/>
        </w:tabs>
        <w:ind w:left="720" w:hanging="720"/>
      </w:pPr>
      <w:rPr/>
    </w:lvl>
    <w:lvl w:ilvl="3">
      <w:start w:val="1"/>
      <w:numFmt w:val="decimal"/>
      <w:lvlText w:val="%1.%2.%3.%4"/>
      <w:lvlJc w:val="left"/>
      <w:pPr>
        <w:tabs>
          <w:tab w:val="num" w:pos="0"/>
        </w:tabs>
        <w:ind w:left="720" w:hanging="720"/>
      </w:pPr>
      <w:rPr/>
    </w:lvl>
    <w:lvl w:ilvl="4">
      <w:start w:val="1"/>
      <w:numFmt w:val="decimal"/>
      <w:lvlText w:val="%1.%2.%3.%4.%5"/>
      <w:lvlJc w:val="left"/>
      <w:pPr>
        <w:tabs>
          <w:tab w:val="num" w:pos="0"/>
        </w:tabs>
        <w:ind w:left="1080" w:hanging="1080"/>
      </w:pPr>
      <w:rPr/>
    </w:lvl>
    <w:lvl w:ilvl="5">
      <w:start w:val="1"/>
      <w:numFmt w:val="decimal"/>
      <w:lvlText w:val="%1.%2.%3.%4.%5.%6"/>
      <w:lvlJc w:val="left"/>
      <w:pPr>
        <w:tabs>
          <w:tab w:val="num" w:pos="0"/>
        </w:tabs>
        <w:ind w:left="1080" w:hanging="1080"/>
      </w:pPr>
      <w:rPr/>
    </w:lvl>
    <w:lvl w:ilvl="6">
      <w:start w:val="1"/>
      <w:numFmt w:val="decimal"/>
      <w:lvlText w:val="%1.%2.%3.%4.%5.%6.%7"/>
      <w:lvlJc w:val="left"/>
      <w:pPr>
        <w:tabs>
          <w:tab w:val="num" w:pos="0"/>
        </w:tabs>
        <w:ind w:left="1440" w:hanging="1440"/>
      </w:pPr>
      <w:rPr/>
    </w:lvl>
    <w:lvl w:ilvl="7">
      <w:start w:val="1"/>
      <w:numFmt w:val="decimal"/>
      <w:lvlText w:val="%1.%2.%3.%4.%5.%6.%7.%8"/>
      <w:lvlJc w:val="left"/>
      <w:pPr>
        <w:tabs>
          <w:tab w:val="num" w:pos="0"/>
        </w:tabs>
        <w:ind w:left="1440" w:hanging="1440"/>
      </w:pPr>
      <w:rPr/>
    </w:lvl>
    <w:lvl w:ilvl="8">
      <w:start w:val="1"/>
      <w:numFmt w:val="decimal"/>
      <w:lvlText w:val="%1.%2.%3.%4.%5.%6.%7.%8.%9"/>
      <w:lvlJc w:val="left"/>
      <w:pPr>
        <w:tabs>
          <w:tab w:val="num" w:pos="0"/>
        </w:tabs>
        <w:ind w:left="1440" w:hanging="1440"/>
      </w:pPr>
      <w:rPr/>
    </w:lvl>
  </w:abstractNum>
  <w:abstractNum w:abstractNumId="34">
    <w:lvl w:ilvl="0">
      <w:start w:val="1"/>
      <w:numFmt w:val="lowerLetter"/>
      <w:lvlText w:val="%1."/>
      <w:lvlJc w:val="left"/>
      <w:pPr>
        <w:tabs>
          <w:tab w:val="num" w:pos="0"/>
        </w:tabs>
        <w:ind w:left="720"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35">
    <w:lvl w:ilvl="0">
      <w:start w:val="1"/>
      <w:numFmt w:val="lowerLetter"/>
      <w:lvlText w:val="%1."/>
      <w:lvlJc w:val="left"/>
      <w:pPr>
        <w:tabs>
          <w:tab w:val="num" w:pos="0"/>
        </w:tabs>
        <w:ind w:left="720"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36">
    <w:lvl w:ilvl="0">
      <w:start w:val="1"/>
      <w:numFmt w:val="lowerLetter"/>
      <w:lvlText w:val="%1."/>
      <w:lvlJc w:val="left"/>
      <w:pPr>
        <w:tabs>
          <w:tab w:val="num" w:pos="0"/>
        </w:tabs>
        <w:ind w:left="720"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37">
    <w:lvl w:ilvl="0">
      <w:start w:val="1"/>
      <w:numFmt w:val="lowerLetter"/>
      <w:lvlText w:val="%1."/>
      <w:lvlJc w:val="left"/>
      <w:pPr>
        <w:tabs>
          <w:tab w:val="num" w:pos="0"/>
        </w:tabs>
        <w:ind w:left="720"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38">
    <w:lvl w:ilvl="0">
      <w:start w:val="1"/>
      <w:numFmt w:val="decimal"/>
      <w:lvlText w:val="%1."/>
      <w:lvlJc w:val="left"/>
      <w:pPr>
        <w:tabs>
          <w:tab w:val="num" w:pos="0"/>
        </w:tabs>
        <w:ind w:left="360" w:hanging="360"/>
      </w:pPr>
      <w:rPr/>
    </w:lvl>
    <w:lvl w:ilvl="1">
      <w:start w:val="1"/>
      <w:numFmt w:val="lowerLetter"/>
      <w:lvlText w:val="%2."/>
      <w:lvlJc w:val="left"/>
      <w:pPr>
        <w:tabs>
          <w:tab w:val="num" w:pos="0"/>
        </w:tabs>
        <w:ind w:left="1080" w:hanging="360"/>
      </w:pPr>
      <w:rPr/>
    </w:lvl>
    <w:lvl w:ilvl="2">
      <w:start w:val="1"/>
      <w:numFmt w:val="lowerRoman"/>
      <w:lvlText w:val="%3."/>
      <w:lvlJc w:val="right"/>
      <w:pPr>
        <w:tabs>
          <w:tab w:val="num" w:pos="0"/>
        </w:tabs>
        <w:ind w:left="1800" w:hanging="180"/>
      </w:pPr>
      <w:rPr/>
    </w:lvl>
    <w:lvl w:ilvl="3">
      <w:start w:val="1"/>
      <w:numFmt w:val="decimal"/>
      <w:lvlText w:val="%4."/>
      <w:lvlJc w:val="left"/>
      <w:pPr>
        <w:tabs>
          <w:tab w:val="num" w:pos="0"/>
        </w:tabs>
        <w:ind w:left="2520" w:hanging="360"/>
      </w:pPr>
      <w:rPr/>
    </w:lvl>
    <w:lvl w:ilvl="4">
      <w:start w:val="1"/>
      <w:numFmt w:val="lowerLetter"/>
      <w:lvlText w:val="%5."/>
      <w:lvlJc w:val="left"/>
      <w:pPr>
        <w:tabs>
          <w:tab w:val="num" w:pos="0"/>
        </w:tabs>
        <w:ind w:left="3240" w:hanging="360"/>
      </w:pPr>
      <w:rPr/>
    </w:lvl>
    <w:lvl w:ilvl="5">
      <w:start w:val="1"/>
      <w:numFmt w:val="lowerRoman"/>
      <w:lvlText w:val="%6."/>
      <w:lvlJc w:val="right"/>
      <w:pPr>
        <w:tabs>
          <w:tab w:val="num" w:pos="0"/>
        </w:tabs>
        <w:ind w:left="3960" w:hanging="180"/>
      </w:pPr>
      <w:rPr/>
    </w:lvl>
    <w:lvl w:ilvl="6">
      <w:start w:val="1"/>
      <w:numFmt w:val="decimal"/>
      <w:lvlText w:val="%7."/>
      <w:lvlJc w:val="left"/>
      <w:pPr>
        <w:tabs>
          <w:tab w:val="num" w:pos="0"/>
        </w:tabs>
        <w:ind w:left="4680" w:hanging="360"/>
      </w:pPr>
      <w:rPr/>
    </w:lvl>
    <w:lvl w:ilvl="7">
      <w:start w:val="1"/>
      <w:numFmt w:val="lowerLetter"/>
      <w:lvlText w:val="%8."/>
      <w:lvlJc w:val="left"/>
      <w:pPr>
        <w:tabs>
          <w:tab w:val="num" w:pos="0"/>
        </w:tabs>
        <w:ind w:left="5400" w:hanging="360"/>
      </w:pPr>
      <w:rPr/>
    </w:lvl>
    <w:lvl w:ilvl="8">
      <w:start w:val="1"/>
      <w:numFmt w:val="lowerRoman"/>
      <w:lvlText w:val="%9."/>
      <w:lvlJc w:val="right"/>
      <w:pPr>
        <w:tabs>
          <w:tab w:val="num" w:pos="0"/>
        </w:tabs>
        <w:ind w:left="6120" w:hanging="180"/>
      </w:pPr>
      <w:rPr/>
    </w:lvl>
  </w:abstractNum>
  <w:abstractNum w:abstractNumId="39">
    <w:lvl w:ilvl="0">
      <w:start w:val="1"/>
      <w:numFmt w:val="lowerLetter"/>
      <w:lvlText w:val="%1."/>
      <w:lvlJc w:val="left"/>
      <w:pPr>
        <w:tabs>
          <w:tab w:val="num" w:pos="0"/>
        </w:tabs>
        <w:ind w:left="360"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40">
    <w:lvl w:ilvl="0">
      <w:start w:val="1"/>
      <w:numFmt w:val="decimal"/>
      <w:lvlText w:val="%1."/>
      <w:lvlJc w:val="left"/>
      <w:pPr>
        <w:tabs>
          <w:tab w:val="num" w:pos="0"/>
        </w:tabs>
        <w:ind w:left="360"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41">
    <w:lvl w:ilvl="0">
      <w:start w:val="1"/>
      <w:numFmt w:val="decimal"/>
      <w:lvlText w:val="%1."/>
      <w:lvlJc w:val="left"/>
      <w:pPr>
        <w:tabs>
          <w:tab w:val="num" w:pos="0"/>
        </w:tabs>
        <w:ind w:left="360" w:hanging="360"/>
      </w:pPr>
      <w:rPr/>
    </w:lvl>
    <w:lvl w:ilvl="1">
      <w:start w:val="1"/>
      <w:numFmt w:val="lowerLetter"/>
      <w:lvlText w:val="%2."/>
      <w:lvlJc w:val="left"/>
      <w:pPr>
        <w:tabs>
          <w:tab w:val="num" w:pos="0"/>
        </w:tabs>
        <w:ind w:left="1080" w:hanging="360"/>
      </w:pPr>
      <w:rPr/>
    </w:lvl>
    <w:lvl w:ilvl="2">
      <w:start w:val="1"/>
      <w:numFmt w:val="lowerRoman"/>
      <w:lvlText w:val="%3."/>
      <w:lvlJc w:val="right"/>
      <w:pPr>
        <w:tabs>
          <w:tab w:val="num" w:pos="0"/>
        </w:tabs>
        <w:ind w:left="1800" w:hanging="180"/>
      </w:pPr>
      <w:rPr/>
    </w:lvl>
    <w:lvl w:ilvl="3">
      <w:start w:val="1"/>
      <w:numFmt w:val="decimal"/>
      <w:lvlText w:val="%4."/>
      <w:lvlJc w:val="left"/>
      <w:pPr>
        <w:tabs>
          <w:tab w:val="num" w:pos="0"/>
        </w:tabs>
        <w:ind w:left="2520" w:hanging="360"/>
      </w:pPr>
      <w:rPr/>
    </w:lvl>
    <w:lvl w:ilvl="4">
      <w:start w:val="1"/>
      <w:numFmt w:val="lowerLetter"/>
      <w:lvlText w:val="%5."/>
      <w:lvlJc w:val="left"/>
      <w:pPr>
        <w:tabs>
          <w:tab w:val="num" w:pos="0"/>
        </w:tabs>
        <w:ind w:left="3240" w:hanging="360"/>
      </w:pPr>
      <w:rPr/>
    </w:lvl>
    <w:lvl w:ilvl="5">
      <w:start w:val="1"/>
      <w:numFmt w:val="lowerRoman"/>
      <w:lvlText w:val="%6."/>
      <w:lvlJc w:val="right"/>
      <w:pPr>
        <w:tabs>
          <w:tab w:val="num" w:pos="0"/>
        </w:tabs>
        <w:ind w:left="3960" w:hanging="180"/>
      </w:pPr>
      <w:rPr/>
    </w:lvl>
    <w:lvl w:ilvl="6">
      <w:start w:val="1"/>
      <w:numFmt w:val="decimal"/>
      <w:lvlText w:val="%7."/>
      <w:lvlJc w:val="left"/>
      <w:pPr>
        <w:tabs>
          <w:tab w:val="num" w:pos="0"/>
        </w:tabs>
        <w:ind w:left="4680" w:hanging="360"/>
      </w:pPr>
      <w:rPr/>
    </w:lvl>
    <w:lvl w:ilvl="7">
      <w:start w:val="1"/>
      <w:numFmt w:val="lowerLetter"/>
      <w:lvlText w:val="%8."/>
      <w:lvlJc w:val="left"/>
      <w:pPr>
        <w:tabs>
          <w:tab w:val="num" w:pos="0"/>
        </w:tabs>
        <w:ind w:left="5400" w:hanging="360"/>
      </w:pPr>
      <w:rPr/>
    </w:lvl>
    <w:lvl w:ilvl="8">
      <w:start w:val="1"/>
      <w:numFmt w:val="lowerRoman"/>
      <w:lvlText w:val="%9."/>
      <w:lvlJc w:val="right"/>
      <w:pPr>
        <w:tabs>
          <w:tab w:val="num" w:pos="0"/>
        </w:tabs>
        <w:ind w:left="6120" w:hanging="180"/>
      </w:pPr>
      <w:rPr/>
    </w:lvl>
  </w:abstractNum>
  <w:abstractNum w:abstractNumId="42">
    <w:lvl w:ilvl="0">
      <w:start w:val="1"/>
      <w:numFmt w:val="lowerLetter"/>
      <w:lvlText w:val="%1."/>
      <w:lvlJc w:val="left"/>
      <w:pPr>
        <w:tabs>
          <w:tab w:val="num" w:pos="0"/>
        </w:tabs>
        <w:ind w:left="360" w:hanging="360"/>
      </w:pPr>
      <w:rPr/>
    </w:lvl>
    <w:lvl w:ilvl="1">
      <w:start w:val="1"/>
      <w:numFmt w:val="lowerLetter"/>
      <w:lvlText w:val="%2."/>
      <w:lvlJc w:val="left"/>
      <w:pPr>
        <w:tabs>
          <w:tab w:val="num" w:pos="0"/>
        </w:tabs>
        <w:ind w:left="1080" w:hanging="360"/>
      </w:pPr>
      <w:rPr/>
    </w:lvl>
    <w:lvl w:ilvl="2">
      <w:start w:val="1"/>
      <w:numFmt w:val="lowerRoman"/>
      <w:lvlText w:val="%3."/>
      <w:lvlJc w:val="right"/>
      <w:pPr>
        <w:tabs>
          <w:tab w:val="num" w:pos="0"/>
        </w:tabs>
        <w:ind w:left="1800" w:hanging="180"/>
      </w:pPr>
      <w:rPr/>
    </w:lvl>
    <w:lvl w:ilvl="3">
      <w:start w:val="1"/>
      <w:numFmt w:val="decimal"/>
      <w:lvlText w:val="%4."/>
      <w:lvlJc w:val="left"/>
      <w:pPr>
        <w:tabs>
          <w:tab w:val="num" w:pos="0"/>
        </w:tabs>
        <w:ind w:left="2520" w:hanging="360"/>
      </w:pPr>
      <w:rPr/>
    </w:lvl>
    <w:lvl w:ilvl="4">
      <w:start w:val="1"/>
      <w:numFmt w:val="lowerLetter"/>
      <w:lvlText w:val="%5."/>
      <w:lvlJc w:val="left"/>
      <w:pPr>
        <w:tabs>
          <w:tab w:val="num" w:pos="0"/>
        </w:tabs>
        <w:ind w:left="3240" w:hanging="360"/>
      </w:pPr>
      <w:rPr/>
    </w:lvl>
    <w:lvl w:ilvl="5">
      <w:start w:val="1"/>
      <w:numFmt w:val="lowerRoman"/>
      <w:lvlText w:val="%6."/>
      <w:lvlJc w:val="right"/>
      <w:pPr>
        <w:tabs>
          <w:tab w:val="num" w:pos="0"/>
        </w:tabs>
        <w:ind w:left="3960" w:hanging="180"/>
      </w:pPr>
      <w:rPr/>
    </w:lvl>
    <w:lvl w:ilvl="6">
      <w:start w:val="1"/>
      <w:numFmt w:val="decimal"/>
      <w:lvlText w:val="%7."/>
      <w:lvlJc w:val="left"/>
      <w:pPr>
        <w:tabs>
          <w:tab w:val="num" w:pos="0"/>
        </w:tabs>
        <w:ind w:left="4680" w:hanging="360"/>
      </w:pPr>
      <w:rPr/>
    </w:lvl>
    <w:lvl w:ilvl="7">
      <w:start w:val="1"/>
      <w:numFmt w:val="lowerLetter"/>
      <w:lvlText w:val="%8."/>
      <w:lvlJc w:val="left"/>
      <w:pPr>
        <w:tabs>
          <w:tab w:val="num" w:pos="0"/>
        </w:tabs>
        <w:ind w:left="5400" w:hanging="360"/>
      </w:pPr>
      <w:rPr/>
    </w:lvl>
    <w:lvl w:ilvl="8">
      <w:start w:val="1"/>
      <w:numFmt w:val="lowerRoman"/>
      <w:lvlText w:val="%9."/>
      <w:lvlJc w:val="right"/>
      <w:pPr>
        <w:tabs>
          <w:tab w:val="num" w:pos="0"/>
        </w:tabs>
        <w:ind w:left="6120" w:hanging="180"/>
      </w:pPr>
      <w:rPr/>
    </w:lvl>
  </w:abstractNum>
  <w:abstractNum w:abstractNumId="43">
    <w:lvl w:ilvl="0">
      <w:start w:val="1"/>
      <w:numFmt w:val="decimal"/>
      <w:lvlText w:val="%1."/>
      <w:lvlJc w:val="left"/>
      <w:pPr>
        <w:tabs>
          <w:tab w:val="num" w:pos="0"/>
        </w:tabs>
        <w:ind w:left="360"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44">
    <w:lvl w:ilvl="0">
      <w:start w:val="1"/>
      <w:numFmt w:val="lowerLetter"/>
      <w:lvlText w:val="%1."/>
      <w:lvlJc w:val="left"/>
      <w:pPr>
        <w:tabs>
          <w:tab w:val="num" w:pos="0"/>
        </w:tabs>
        <w:ind w:left="785" w:hanging="360"/>
      </w:pPr>
      <w:rPr/>
    </w:lvl>
    <w:lvl w:ilvl="1">
      <w:start w:val="1"/>
      <w:numFmt w:val="lowerLetter"/>
      <w:lvlText w:val="%2."/>
      <w:lvlJc w:val="left"/>
      <w:pPr>
        <w:tabs>
          <w:tab w:val="num" w:pos="0"/>
        </w:tabs>
        <w:ind w:left="1505" w:hanging="360"/>
      </w:pPr>
      <w:rPr/>
    </w:lvl>
    <w:lvl w:ilvl="2">
      <w:start w:val="1"/>
      <w:numFmt w:val="lowerRoman"/>
      <w:lvlText w:val="%3."/>
      <w:lvlJc w:val="right"/>
      <w:pPr>
        <w:tabs>
          <w:tab w:val="num" w:pos="0"/>
        </w:tabs>
        <w:ind w:left="2225" w:hanging="180"/>
      </w:pPr>
      <w:rPr/>
    </w:lvl>
    <w:lvl w:ilvl="3">
      <w:start w:val="1"/>
      <w:numFmt w:val="decimal"/>
      <w:lvlText w:val="%4."/>
      <w:lvlJc w:val="left"/>
      <w:pPr>
        <w:tabs>
          <w:tab w:val="num" w:pos="0"/>
        </w:tabs>
        <w:ind w:left="2945" w:hanging="360"/>
      </w:pPr>
      <w:rPr/>
    </w:lvl>
    <w:lvl w:ilvl="4">
      <w:start w:val="1"/>
      <w:numFmt w:val="lowerLetter"/>
      <w:lvlText w:val="%5."/>
      <w:lvlJc w:val="left"/>
      <w:pPr>
        <w:tabs>
          <w:tab w:val="num" w:pos="0"/>
        </w:tabs>
        <w:ind w:left="3665" w:hanging="360"/>
      </w:pPr>
      <w:rPr/>
    </w:lvl>
    <w:lvl w:ilvl="5">
      <w:start w:val="1"/>
      <w:numFmt w:val="lowerRoman"/>
      <w:lvlText w:val="%6."/>
      <w:lvlJc w:val="right"/>
      <w:pPr>
        <w:tabs>
          <w:tab w:val="num" w:pos="0"/>
        </w:tabs>
        <w:ind w:left="4385" w:hanging="180"/>
      </w:pPr>
      <w:rPr/>
    </w:lvl>
    <w:lvl w:ilvl="6">
      <w:start w:val="1"/>
      <w:numFmt w:val="decimal"/>
      <w:lvlText w:val="%7."/>
      <w:lvlJc w:val="left"/>
      <w:pPr>
        <w:tabs>
          <w:tab w:val="num" w:pos="0"/>
        </w:tabs>
        <w:ind w:left="5105" w:hanging="360"/>
      </w:pPr>
      <w:rPr/>
    </w:lvl>
    <w:lvl w:ilvl="7">
      <w:start w:val="1"/>
      <w:numFmt w:val="lowerLetter"/>
      <w:lvlText w:val="%8."/>
      <w:lvlJc w:val="left"/>
      <w:pPr>
        <w:tabs>
          <w:tab w:val="num" w:pos="0"/>
        </w:tabs>
        <w:ind w:left="5825" w:hanging="360"/>
      </w:pPr>
      <w:rPr/>
    </w:lvl>
    <w:lvl w:ilvl="8">
      <w:start w:val="1"/>
      <w:numFmt w:val="lowerRoman"/>
      <w:lvlText w:val="%9."/>
      <w:lvlJc w:val="right"/>
      <w:pPr>
        <w:tabs>
          <w:tab w:val="num" w:pos="0"/>
        </w:tabs>
        <w:ind w:left="6545" w:hanging="180"/>
      </w:pPr>
      <w:rPr/>
    </w:lvl>
  </w:abstractNum>
  <w:abstractNum w:abstractNumId="45">
    <w:lvl w:ilvl="0">
      <w:start w:val="1"/>
      <w:numFmt w:val="decimal"/>
      <w:lvlText w:val="%1."/>
      <w:lvlJc w:val="left"/>
      <w:pPr>
        <w:tabs>
          <w:tab w:val="num" w:pos="0"/>
        </w:tabs>
        <w:ind w:left="360" w:hanging="360"/>
      </w:pPr>
      <w:rPr/>
    </w:lvl>
    <w:lvl w:ilvl="1">
      <w:start w:val="1"/>
      <w:numFmt w:val="lowerLetter"/>
      <w:lvlText w:val="%2."/>
      <w:lvlJc w:val="left"/>
      <w:pPr>
        <w:tabs>
          <w:tab w:val="num" w:pos="0"/>
        </w:tabs>
        <w:ind w:left="1080" w:hanging="360"/>
      </w:pPr>
      <w:rPr/>
    </w:lvl>
    <w:lvl w:ilvl="2">
      <w:start w:val="1"/>
      <w:numFmt w:val="lowerRoman"/>
      <w:lvlText w:val="%3."/>
      <w:lvlJc w:val="right"/>
      <w:pPr>
        <w:tabs>
          <w:tab w:val="num" w:pos="0"/>
        </w:tabs>
        <w:ind w:left="1800" w:hanging="180"/>
      </w:pPr>
      <w:rPr/>
    </w:lvl>
    <w:lvl w:ilvl="3">
      <w:start w:val="1"/>
      <w:numFmt w:val="decimal"/>
      <w:lvlText w:val="%4."/>
      <w:lvlJc w:val="left"/>
      <w:pPr>
        <w:tabs>
          <w:tab w:val="num" w:pos="0"/>
        </w:tabs>
        <w:ind w:left="2520" w:hanging="360"/>
      </w:pPr>
      <w:rPr/>
    </w:lvl>
    <w:lvl w:ilvl="4">
      <w:start w:val="1"/>
      <w:numFmt w:val="lowerLetter"/>
      <w:lvlText w:val="%5."/>
      <w:lvlJc w:val="left"/>
      <w:pPr>
        <w:tabs>
          <w:tab w:val="num" w:pos="0"/>
        </w:tabs>
        <w:ind w:left="3240" w:hanging="360"/>
      </w:pPr>
      <w:rPr/>
    </w:lvl>
    <w:lvl w:ilvl="5">
      <w:start w:val="1"/>
      <w:numFmt w:val="lowerRoman"/>
      <w:lvlText w:val="%6."/>
      <w:lvlJc w:val="right"/>
      <w:pPr>
        <w:tabs>
          <w:tab w:val="num" w:pos="0"/>
        </w:tabs>
        <w:ind w:left="3960" w:hanging="180"/>
      </w:pPr>
      <w:rPr/>
    </w:lvl>
    <w:lvl w:ilvl="6">
      <w:start w:val="1"/>
      <w:numFmt w:val="decimal"/>
      <w:lvlText w:val="%7."/>
      <w:lvlJc w:val="left"/>
      <w:pPr>
        <w:tabs>
          <w:tab w:val="num" w:pos="0"/>
        </w:tabs>
        <w:ind w:left="4680" w:hanging="360"/>
      </w:pPr>
      <w:rPr/>
    </w:lvl>
    <w:lvl w:ilvl="7">
      <w:start w:val="1"/>
      <w:numFmt w:val="lowerLetter"/>
      <w:lvlText w:val="%8."/>
      <w:lvlJc w:val="left"/>
      <w:pPr>
        <w:tabs>
          <w:tab w:val="num" w:pos="0"/>
        </w:tabs>
        <w:ind w:left="5400" w:hanging="360"/>
      </w:pPr>
      <w:rPr/>
    </w:lvl>
    <w:lvl w:ilvl="8">
      <w:start w:val="1"/>
      <w:numFmt w:val="lowerRoman"/>
      <w:lvlText w:val="%9."/>
      <w:lvlJc w:val="right"/>
      <w:pPr>
        <w:tabs>
          <w:tab w:val="num" w:pos="0"/>
        </w:tabs>
        <w:ind w:left="6120" w:hanging="180"/>
      </w:pPr>
      <w:rPr/>
    </w:lvl>
  </w:abstractNum>
  <w:abstractNum w:abstractNumId="46">
    <w:lvl w:ilvl="0">
      <w:start w:val="1"/>
      <w:numFmt w:val="upperLetter"/>
      <w:lvlText w:val="%1."/>
      <w:lvlJc w:val="left"/>
      <w:pPr>
        <w:tabs>
          <w:tab w:val="num" w:pos="0"/>
        </w:tabs>
        <w:ind w:left="360" w:hanging="360"/>
      </w:pPr>
      <w:rPr/>
    </w:lvl>
    <w:lvl w:ilvl="1">
      <w:start w:val="1"/>
      <w:numFmt w:val="lowerLetter"/>
      <w:lvlText w:val="%2."/>
      <w:lvlJc w:val="left"/>
      <w:pPr>
        <w:tabs>
          <w:tab w:val="num" w:pos="0"/>
        </w:tabs>
        <w:ind w:left="1080" w:hanging="360"/>
      </w:pPr>
      <w:rPr/>
    </w:lvl>
    <w:lvl w:ilvl="2">
      <w:start w:val="1"/>
      <w:numFmt w:val="lowerRoman"/>
      <w:lvlText w:val="%3."/>
      <w:lvlJc w:val="right"/>
      <w:pPr>
        <w:tabs>
          <w:tab w:val="num" w:pos="0"/>
        </w:tabs>
        <w:ind w:left="1800" w:hanging="180"/>
      </w:pPr>
      <w:rPr/>
    </w:lvl>
    <w:lvl w:ilvl="3">
      <w:start w:val="1"/>
      <w:numFmt w:val="decimal"/>
      <w:lvlText w:val="%4."/>
      <w:lvlJc w:val="left"/>
      <w:pPr>
        <w:tabs>
          <w:tab w:val="num" w:pos="0"/>
        </w:tabs>
        <w:ind w:left="2520" w:hanging="360"/>
      </w:pPr>
      <w:rPr/>
    </w:lvl>
    <w:lvl w:ilvl="4">
      <w:start w:val="1"/>
      <w:numFmt w:val="lowerLetter"/>
      <w:lvlText w:val="%5."/>
      <w:lvlJc w:val="left"/>
      <w:pPr>
        <w:tabs>
          <w:tab w:val="num" w:pos="0"/>
        </w:tabs>
        <w:ind w:left="3240" w:hanging="360"/>
      </w:pPr>
      <w:rPr/>
    </w:lvl>
    <w:lvl w:ilvl="5">
      <w:start w:val="1"/>
      <w:numFmt w:val="lowerRoman"/>
      <w:lvlText w:val="%6."/>
      <w:lvlJc w:val="right"/>
      <w:pPr>
        <w:tabs>
          <w:tab w:val="num" w:pos="0"/>
        </w:tabs>
        <w:ind w:left="3960" w:hanging="180"/>
      </w:pPr>
      <w:rPr/>
    </w:lvl>
    <w:lvl w:ilvl="6">
      <w:start w:val="1"/>
      <w:numFmt w:val="decimal"/>
      <w:lvlText w:val="%7."/>
      <w:lvlJc w:val="left"/>
      <w:pPr>
        <w:tabs>
          <w:tab w:val="num" w:pos="0"/>
        </w:tabs>
        <w:ind w:left="4680" w:hanging="360"/>
      </w:pPr>
      <w:rPr/>
    </w:lvl>
    <w:lvl w:ilvl="7">
      <w:start w:val="1"/>
      <w:numFmt w:val="lowerLetter"/>
      <w:lvlText w:val="%8."/>
      <w:lvlJc w:val="left"/>
      <w:pPr>
        <w:tabs>
          <w:tab w:val="num" w:pos="0"/>
        </w:tabs>
        <w:ind w:left="5400" w:hanging="360"/>
      </w:pPr>
      <w:rPr/>
    </w:lvl>
    <w:lvl w:ilvl="8">
      <w:start w:val="1"/>
      <w:numFmt w:val="lowerRoman"/>
      <w:lvlText w:val="%9."/>
      <w:lvlJc w:val="right"/>
      <w:pPr>
        <w:tabs>
          <w:tab w:val="num" w:pos="0"/>
        </w:tabs>
        <w:ind w:left="6120" w:hanging="180"/>
      </w:pPr>
      <w:rPr/>
    </w:lvl>
  </w:abstractNum>
  <w:abstractNum w:abstractNumId="47">
    <w:lvl w:ilvl="0">
      <w:start w:val="1"/>
      <w:numFmt w:val="lowerLetter"/>
      <w:lvlText w:val="%1."/>
      <w:lvlJc w:val="left"/>
      <w:pPr>
        <w:tabs>
          <w:tab w:val="num" w:pos="0"/>
        </w:tabs>
        <w:ind w:left="360" w:hanging="360"/>
      </w:pPr>
      <w:rPr/>
    </w:lvl>
    <w:lvl w:ilvl="1">
      <w:start w:val="1"/>
      <w:numFmt w:val="lowerLetter"/>
      <w:lvlText w:val="%2."/>
      <w:lvlJc w:val="left"/>
      <w:pPr>
        <w:tabs>
          <w:tab w:val="num" w:pos="0"/>
        </w:tabs>
        <w:ind w:left="1080" w:hanging="360"/>
      </w:pPr>
      <w:rPr/>
    </w:lvl>
    <w:lvl w:ilvl="2">
      <w:start w:val="1"/>
      <w:numFmt w:val="lowerRoman"/>
      <w:lvlText w:val="%3."/>
      <w:lvlJc w:val="right"/>
      <w:pPr>
        <w:tabs>
          <w:tab w:val="num" w:pos="0"/>
        </w:tabs>
        <w:ind w:left="1800" w:hanging="180"/>
      </w:pPr>
      <w:rPr/>
    </w:lvl>
    <w:lvl w:ilvl="3">
      <w:start w:val="1"/>
      <w:numFmt w:val="decimal"/>
      <w:lvlText w:val="%4."/>
      <w:lvlJc w:val="left"/>
      <w:pPr>
        <w:tabs>
          <w:tab w:val="num" w:pos="0"/>
        </w:tabs>
        <w:ind w:left="2520" w:hanging="360"/>
      </w:pPr>
      <w:rPr/>
    </w:lvl>
    <w:lvl w:ilvl="4">
      <w:start w:val="1"/>
      <w:numFmt w:val="lowerLetter"/>
      <w:lvlText w:val="%5."/>
      <w:lvlJc w:val="left"/>
      <w:pPr>
        <w:tabs>
          <w:tab w:val="num" w:pos="0"/>
        </w:tabs>
        <w:ind w:left="3240" w:hanging="360"/>
      </w:pPr>
      <w:rPr/>
    </w:lvl>
    <w:lvl w:ilvl="5">
      <w:start w:val="1"/>
      <w:numFmt w:val="lowerRoman"/>
      <w:lvlText w:val="%6."/>
      <w:lvlJc w:val="right"/>
      <w:pPr>
        <w:tabs>
          <w:tab w:val="num" w:pos="0"/>
        </w:tabs>
        <w:ind w:left="3960" w:hanging="180"/>
      </w:pPr>
      <w:rPr/>
    </w:lvl>
    <w:lvl w:ilvl="6">
      <w:start w:val="1"/>
      <w:numFmt w:val="decimal"/>
      <w:lvlText w:val="%7."/>
      <w:lvlJc w:val="left"/>
      <w:pPr>
        <w:tabs>
          <w:tab w:val="num" w:pos="0"/>
        </w:tabs>
        <w:ind w:left="4680" w:hanging="360"/>
      </w:pPr>
      <w:rPr/>
    </w:lvl>
    <w:lvl w:ilvl="7">
      <w:start w:val="1"/>
      <w:numFmt w:val="lowerLetter"/>
      <w:lvlText w:val="%8."/>
      <w:lvlJc w:val="left"/>
      <w:pPr>
        <w:tabs>
          <w:tab w:val="num" w:pos="0"/>
        </w:tabs>
        <w:ind w:left="5400" w:hanging="360"/>
      </w:pPr>
      <w:rPr/>
    </w:lvl>
    <w:lvl w:ilvl="8">
      <w:start w:val="1"/>
      <w:numFmt w:val="lowerRoman"/>
      <w:lvlText w:val="%9."/>
      <w:lvlJc w:val="right"/>
      <w:pPr>
        <w:tabs>
          <w:tab w:val="num" w:pos="0"/>
        </w:tabs>
        <w:ind w:left="6120" w:hanging="180"/>
      </w:pPr>
      <w:rPr/>
    </w:lvl>
  </w:abstractNum>
  <w:abstractNum w:abstractNumId="48">
    <w:lvl w:ilvl="0">
      <w:start w:val="1"/>
      <w:numFmt w:val="decimal"/>
      <w:lvlText w:val="%1."/>
      <w:lvlJc w:val="left"/>
      <w:pPr>
        <w:tabs>
          <w:tab w:val="num" w:pos="0"/>
        </w:tabs>
        <w:ind w:left="360" w:hanging="360"/>
      </w:pPr>
      <w:rPr/>
    </w:lvl>
    <w:lvl w:ilvl="1">
      <w:start w:val="1"/>
      <w:numFmt w:val="lowerLetter"/>
      <w:lvlText w:val="%2."/>
      <w:lvlJc w:val="left"/>
      <w:pPr>
        <w:tabs>
          <w:tab w:val="num" w:pos="0"/>
        </w:tabs>
        <w:ind w:left="1080" w:hanging="360"/>
      </w:pPr>
      <w:rPr/>
    </w:lvl>
    <w:lvl w:ilvl="2">
      <w:start w:val="1"/>
      <w:numFmt w:val="lowerRoman"/>
      <w:lvlText w:val="%3."/>
      <w:lvlJc w:val="right"/>
      <w:pPr>
        <w:tabs>
          <w:tab w:val="num" w:pos="0"/>
        </w:tabs>
        <w:ind w:left="1800" w:hanging="180"/>
      </w:pPr>
      <w:rPr/>
    </w:lvl>
    <w:lvl w:ilvl="3">
      <w:start w:val="1"/>
      <w:numFmt w:val="decimal"/>
      <w:lvlText w:val="%4."/>
      <w:lvlJc w:val="left"/>
      <w:pPr>
        <w:tabs>
          <w:tab w:val="num" w:pos="0"/>
        </w:tabs>
        <w:ind w:left="2520" w:hanging="360"/>
      </w:pPr>
      <w:rPr/>
    </w:lvl>
    <w:lvl w:ilvl="4">
      <w:start w:val="1"/>
      <w:numFmt w:val="lowerLetter"/>
      <w:lvlText w:val="%5."/>
      <w:lvlJc w:val="left"/>
      <w:pPr>
        <w:tabs>
          <w:tab w:val="num" w:pos="0"/>
        </w:tabs>
        <w:ind w:left="3240" w:hanging="360"/>
      </w:pPr>
      <w:rPr/>
    </w:lvl>
    <w:lvl w:ilvl="5">
      <w:start w:val="1"/>
      <w:numFmt w:val="lowerRoman"/>
      <w:lvlText w:val="%6."/>
      <w:lvlJc w:val="right"/>
      <w:pPr>
        <w:tabs>
          <w:tab w:val="num" w:pos="0"/>
        </w:tabs>
        <w:ind w:left="3960" w:hanging="180"/>
      </w:pPr>
      <w:rPr/>
    </w:lvl>
    <w:lvl w:ilvl="6">
      <w:start w:val="1"/>
      <w:numFmt w:val="decimal"/>
      <w:lvlText w:val="%7."/>
      <w:lvlJc w:val="left"/>
      <w:pPr>
        <w:tabs>
          <w:tab w:val="num" w:pos="0"/>
        </w:tabs>
        <w:ind w:left="4680" w:hanging="360"/>
      </w:pPr>
      <w:rPr/>
    </w:lvl>
    <w:lvl w:ilvl="7">
      <w:start w:val="1"/>
      <w:numFmt w:val="lowerLetter"/>
      <w:lvlText w:val="%8."/>
      <w:lvlJc w:val="left"/>
      <w:pPr>
        <w:tabs>
          <w:tab w:val="num" w:pos="0"/>
        </w:tabs>
        <w:ind w:left="5400" w:hanging="360"/>
      </w:pPr>
      <w:rPr/>
    </w:lvl>
    <w:lvl w:ilvl="8">
      <w:start w:val="1"/>
      <w:numFmt w:val="lowerRoman"/>
      <w:lvlText w:val="%9."/>
      <w:lvlJc w:val="right"/>
      <w:pPr>
        <w:tabs>
          <w:tab w:val="num" w:pos="0"/>
        </w:tabs>
        <w:ind w:left="6120" w:hanging="180"/>
      </w:pPr>
      <w:rPr/>
    </w:lvl>
  </w:abstractNum>
  <w:abstractNum w:abstractNumId="49">
    <w:lvl w:ilvl="0">
      <w:start w:val="1"/>
      <w:numFmt w:val="decimal"/>
      <w:lvlText w:val="%1"/>
      <w:lvlJc w:val="left"/>
      <w:pPr>
        <w:tabs>
          <w:tab w:val="num" w:pos="0"/>
        </w:tabs>
        <w:ind w:left="0" w:hanging="0"/>
      </w:pPr>
      <w:rPr/>
    </w:lvl>
    <w:lvl w:ilvl="1">
      <w:start w:val="1"/>
      <w:numFmt w:val="decimal"/>
      <w:lvlText w:val="%2."/>
      <w:lvlJc w:val="left"/>
      <w:pPr>
        <w:tabs>
          <w:tab w:val="num" w:pos="0"/>
        </w:tabs>
        <w:ind w:left="360" w:hanging="360"/>
      </w:pPr>
      <w:rPr/>
    </w:lvl>
    <w:lvl w:ilvl="2">
      <w:start w:val="0"/>
      <w:numFmt w:val="decimal"/>
      <w:lvlText w:val=""/>
      <w:lvlJc w:val="left"/>
      <w:pPr>
        <w:tabs>
          <w:tab w:val="num" w:pos="0"/>
        </w:tabs>
        <w:ind w:left="0" w:hanging="0"/>
      </w:pPr>
      <w:rPr/>
    </w:lvl>
    <w:lvl w:ilvl="3">
      <w:start w:val="0"/>
      <w:numFmt w:val="decimal"/>
      <w:lvlText w:val=""/>
      <w:lvlJc w:val="left"/>
      <w:pPr>
        <w:tabs>
          <w:tab w:val="num" w:pos="0"/>
        </w:tabs>
        <w:ind w:left="0" w:hanging="0"/>
      </w:pPr>
      <w:rPr/>
    </w:lvl>
    <w:lvl w:ilvl="4">
      <w:start w:val="0"/>
      <w:numFmt w:val="decimal"/>
      <w:lvlText w:val=""/>
      <w:lvlJc w:val="left"/>
      <w:pPr>
        <w:tabs>
          <w:tab w:val="num" w:pos="0"/>
        </w:tabs>
        <w:ind w:left="0" w:hanging="0"/>
      </w:pPr>
      <w:rPr/>
    </w:lvl>
    <w:lvl w:ilvl="5">
      <w:start w:val="0"/>
      <w:numFmt w:val="decimal"/>
      <w:lvlText w:val=""/>
      <w:lvlJc w:val="left"/>
      <w:pPr>
        <w:tabs>
          <w:tab w:val="num" w:pos="0"/>
        </w:tabs>
        <w:ind w:left="0" w:hanging="0"/>
      </w:pPr>
      <w:rPr/>
    </w:lvl>
    <w:lvl w:ilvl="6">
      <w:start w:val="0"/>
      <w:numFmt w:val="decimal"/>
      <w:lvlText w:val=""/>
      <w:lvlJc w:val="left"/>
      <w:pPr>
        <w:tabs>
          <w:tab w:val="num" w:pos="0"/>
        </w:tabs>
        <w:ind w:left="0" w:hanging="0"/>
      </w:pPr>
      <w:rPr/>
    </w:lvl>
    <w:lvl w:ilvl="7">
      <w:start w:val="0"/>
      <w:numFmt w:val="decimal"/>
      <w:lvlText w:val=""/>
      <w:lvlJc w:val="left"/>
      <w:pPr>
        <w:tabs>
          <w:tab w:val="num" w:pos="0"/>
        </w:tabs>
        <w:ind w:left="0" w:hanging="0"/>
      </w:pPr>
      <w:rPr/>
    </w:lvl>
    <w:lvl w:ilvl="8">
      <w:start w:val="0"/>
      <w:numFmt w:val="decimal"/>
      <w:lvlText w:val=""/>
      <w:lvlJc w:val="left"/>
      <w:pPr>
        <w:tabs>
          <w:tab w:val="num" w:pos="0"/>
        </w:tabs>
        <w:ind w:left="0" w:hanging="0"/>
      </w:pPr>
      <w:rPr/>
    </w:lvl>
  </w:abstractNum>
  <w:abstractNum w:abstractNumId="50">
    <w:lvl w:ilvl="0">
      <w:numFmt w:val="bullet"/>
      <w:lvlText w:val="-"/>
      <w:lvlJc w:val="left"/>
      <w:pPr>
        <w:tabs>
          <w:tab w:val="num" w:pos="0"/>
        </w:tabs>
        <w:ind w:left="2030" w:hanging="360"/>
      </w:pPr>
      <w:rPr>
        <w:rFonts w:ascii="Verdana" w:hAnsi="Verdana" w:cs="Verdana" w:hint="default"/>
        <w:sz w:val="22"/>
        <w:spacing w:val="0"/>
        <w:i w:val="false"/>
        <w:b w:val="false"/>
        <w:szCs w:val="22"/>
        <w:iCs w:val="false"/>
        <w:bCs w:val="false"/>
        <w:w w:val="100"/>
        <w:lang w:val="it-IT" w:eastAsia="en-US" w:bidi="ar-SA"/>
      </w:rPr>
    </w:lvl>
    <w:lvl w:ilvl="1">
      <w:start w:val="1"/>
      <w:numFmt w:val="bullet"/>
      <w:lvlText w:val="o"/>
      <w:lvlJc w:val="left"/>
      <w:pPr>
        <w:tabs>
          <w:tab w:val="num" w:pos="0"/>
        </w:tabs>
        <w:ind w:left="2750" w:hanging="360"/>
      </w:pPr>
      <w:rPr>
        <w:rFonts w:ascii="Courier New" w:hAnsi="Courier New" w:cs="Courier New" w:hint="default"/>
      </w:rPr>
    </w:lvl>
    <w:lvl w:ilvl="2">
      <w:start w:val="1"/>
      <w:numFmt w:val="bullet"/>
      <w:lvlText w:val=""/>
      <w:lvlJc w:val="left"/>
      <w:pPr>
        <w:tabs>
          <w:tab w:val="num" w:pos="0"/>
        </w:tabs>
        <w:ind w:left="3470" w:hanging="360"/>
      </w:pPr>
      <w:rPr>
        <w:rFonts w:ascii="Wingdings" w:hAnsi="Wingdings" w:cs="Wingdings" w:hint="default"/>
      </w:rPr>
    </w:lvl>
    <w:lvl w:ilvl="3">
      <w:start w:val="1"/>
      <w:numFmt w:val="bullet"/>
      <w:lvlText w:val=""/>
      <w:lvlJc w:val="left"/>
      <w:pPr>
        <w:tabs>
          <w:tab w:val="num" w:pos="0"/>
        </w:tabs>
        <w:ind w:left="4190" w:hanging="360"/>
      </w:pPr>
      <w:rPr>
        <w:rFonts w:ascii="Symbol" w:hAnsi="Symbol" w:cs="Symbol" w:hint="default"/>
      </w:rPr>
    </w:lvl>
    <w:lvl w:ilvl="4">
      <w:start w:val="1"/>
      <w:numFmt w:val="bullet"/>
      <w:lvlText w:val="o"/>
      <w:lvlJc w:val="left"/>
      <w:pPr>
        <w:tabs>
          <w:tab w:val="num" w:pos="0"/>
        </w:tabs>
        <w:ind w:left="4910" w:hanging="360"/>
      </w:pPr>
      <w:rPr>
        <w:rFonts w:ascii="Courier New" w:hAnsi="Courier New" w:cs="Courier New" w:hint="default"/>
      </w:rPr>
    </w:lvl>
    <w:lvl w:ilvl="5">
      <w:start w:val="1"/>
      <w:numFmt w:val="bullet"/>
      <w:lvlText w:val=""/>
      <w:lvlJc w:val="left"/>
      <w:pPr>
        <w:tabs>
          <w:tab w:val="num" w:pos="0"/>
        </w:tabs>
        <w:ind w:left="5630" w:hanging="360"/>
      </w:pPr>
      <w:rPr>
        <w:rFonts w:ascii="Wingdings" w:hAnsi="Wingdings" w:cs="Wingdings" w:hint="default"/>
      </w:rPr>
    </w:lvl>
    <w:lvl w:ilvl="6">
      <w:start w:val="1"/>
      <w:numFmt w:val="bullet"/>
      <w:lvlText w:val=""/>
      <w:lvlJc w:val="left"/>
      <w:pPr>
        <w:tabs>
          <w:tab w:val="num" w:pos="0"/>
        </w:tabs>
        <w:ind w:left="6350" w:hanging="360"/>
      </w:pPr>
      <w:rPr>
        <w:rFonts w:ascii="Symbol" w:hAnsi="Symbol" w:cs="Symbol" w:hint="default"/>
      </w:rPr>
    </w:lvl>
    <w:lvl w:ilvl="7">
      <w:start w:val="1"/>
      <w:numFmt w:val="bullet"/>
      <w:lvlText w:val="o"/>
      <w:lvlJc w:val="left"/>
      <w:pPr>
        <w:tabs>
          <w:tab w:val="num" w:pos="0"/>
        </w:tabs>
        <w:ind w:left="7070" w:hanging="360"/>
      </w:pPr>
      <w:rPr>
        <w:rFonts w:ascii="Courier New" w:hAnsi="Courier New" w:cs="Courier New" w:hint="default"/>
      </w:rPr>
    </w:lvl>
    <w:lvl w:ilvl="8">
      <w:start w:val="1"/>
      <w:numFmt w:val="bullet"/>
      <w:lvlText w:val=""/>
      <w:lvlJc w:val="left"/>
      <w:pPr>
        <w:tabs>
          <w:tab w:val="num" w:pos="0"/>
        </w:tabs>
        <w:ind w:left="7790" w:hanging="360"/>
      </w:pPr>
      <w:rPr>
        <w:rFonts w:ascii="Wingdings" w:hAnsi="Wingdings" w:cs="Wingdings" w:hint="default"/>
      </w:rPr>
    </w:lvl>
  </w:abstractNum>
  <w:abstractNum w:abstractNumId="51">
    <w:lvl w:ilvl="0">
      <w:numFmt w:val="bullet"/>
      <w:lvlText w:val="-"/>
      <w:lvlJc w:val="left"/>
      <w:pPr>
        <w:tabs>
          <w:tab w:val="num" w:pos="0"/>
        </w:tabs>
        <w:ind w:left="1080" w:hanging="360"/>
      </w:pPr>
      <w:rPr>
        <w:rFonts w:ascii="Verdana" w:hAnsi="Verdana" w:cs="Verdana" w:hint="default"/>
        <w:sz w:val="22"/>
        <w:spacing w:val="0"/>
        <w:i w:val="false"/>
        <w:b w:val="false"/>
        <w:szCs w:val="22"/>
        <w:iCs w:val="false"/>
        <w:bCs w:val="false"/>
        <w:w w:val="100"/>
        <w:lang w:val="it-IT" w:eastAsia="en-US" w:bidi="ar-SA"/>
      </w:rPr>
    </w:lvl>
    <w:lvl w:ilvl="1">
      <w:start w:val="1"/>
      <w:numFmt w:val="lowerLetter"/>
      <w:lvlText w:val="%2."/>
      <w:lvlJc w:val="left"/>
      <w:pPr>
        <w:tabs>
          <w:tab w:val="num" w:pos="0"/>
        </w:tabs>
        <w:ind w:left="1735" w:hanging="360"/>
      </w:pPr>
      <w:rPr/>
    </w:lvl>
    <w:lvl w:ilvl="2">
      <w:start w:val="1"/>
      <w:numFmt w:val="lowerRoman"/>
      <w:lvlText w:val="%3."/>
      <w:lvlJc w:val="right"/>
      <w:pPr>
        <w:tabs>
          <w:tab w:val="num" w:pos="0"/>
        </w:tabs>
        <w:ind w:left="2455" w:hanging="180"/>
      </w:pPr>
      <w:rPr/>
    </w:lvl>
    <w:lvl w:ilvl="3">
      <w:start w:val="1"/>
      <w:numFmt w:val="decimal"/>
      <w:lvlText w:val="%4."/>
      <w:lvlJc w:val="left"/>
      <w:pPr>
        <w:tabs>
          <w:tab w:val="num" w:pos="0"/>
        </w:tabs>
        <w:ind w:left="3175" w:hanging="360"/>
      </w:pPr>
      <w:rPr/>
    </w:lvl>
    <w:lvl w:ilvl="4">
      <w:start w:val="1"/>
      <w:numFmt w:val="lowerLetter"/>
      <w:lvlText w:val="%5."/>
      <w:lvlJc w:val="left"/>
      <w:pPr>
        <w:tabs>
          <w:tab w:val="num" w:pos="0"/>
        </w:tabs>
        <w:ind w:left="3895" w:hanging="360"/>
      </w:pPr>
      <w:rPr/>
    </w:lvl>
    <w:lvl w:ilvl="5">
      <w:start w:val="1"/>
      <w:numFmt w:val="lowerRoman"/>
      <w:lvlText w:val="%6."/>
      <w:lvlJc w:val="right"/>
      <w:pPr>
        <w:tabs>
          <w:tab w:val="num" w:pos="0"/>
        </w:tabs>
        <w:ind w:left="4615" w:hanging="180"/>
      </w:pPr>
      <w:rPr/>
    </w:lvl>
    <w:lvl w:ilvl="6">
      <w:start w:val="1"/>
      <w:numFmt w:val="decimal"/>
      <w:lvlText w:val="%7."/>
      <w:lvlJc w:val="left"/>
      <w:pPr>
        <w:tabs>
          <w:tab w:val="num" w:pos="0"/>
        </w:tabs>
        <w:ind w:left="5335" w:hanging="360"/>
      </w:pPr>
      <w:rPr/>
    </w:lvl>
    <w:lvl w:ilvl="7">
      <w:start w:val="1"/>
      <w:numFmt w:val="lowerLetter"/>
      <w:lvlText w:val="%8."/>
      <w:lvlJc w:val="left"/>
      <w:pPr>
        <w:tabs>
          <w:tab w:val="num" w:pos="0"/>
        </w:tabs>
        <w:ind w:left="6055" w:hanging="360"/>
      </w:pPr>
      <w:rPr/>
    </w:lvl>
    <w:lvl w:ilvl="8">
      <w:start w:val="1"/>
      <w:numFmt w:val="lowerRoman"/>
      <w:lvlText w:val="%9."/>
      <w:lvlJc w:val="right"/>
      <w:pPr>
        <w:tabs>
          <w:tab w:val="num" w:pos="0"/>
        </w:tabs>
        <w:ind w:left="6775" w:hanging="180"/>
      </w:pPr>
      <w:rPr/>
    </w:lvl>
  </w:abstractNum>
  <w:abstractNum w:abstractNumId="52">
    <w:lvl w:ilvl="0">
      <w:numFmt w:val="bullet"/>
      <w:lvlText w:val="-"/>
      <w:lvlJc w:val="left"/>
      <w:pPr>
        <w:tabs>
          <w:tab w:val="num" w:pos="0"/>
        </w:tabs>
        <w:ind w:left="0" w:hanging="0"/>
      </w:pPr>
      <w:rPr>
        <w:rFonts w:ascii="Verdana" w:hAnsi="Verdana" w:cs="Verdana" w:hint="default"/>
        <w:sz w:val="22"/>
        <w:spacing w:val="0"/>
        <w:i w:val="false"/>
        <w:b w:val="false"/>
        <w:szCs w:val="22"/>
        <w:iCs w:val="false"/>
        <w:bCs w:val="false"/>
        <w:w w:val="100"/>
        <w:lang w:val="it-IT" w:eastAsia="en-US" w:bidi="ar-SA"/>
      </w:rPr>
    </w:lvl>
    <w:lvl w:ilvl="1">
      <w:start w:val="0"/>
      <w:numFmt w:val="decimal"/>
      <w:lvlText w:val=""/>
      <w:lvlJc w:val="left"/>
      <w:pPr>
        <w:tabs>
          <w:tab w:val="num" w:pos="0"/>
        </w:tabs>
        <w:ind w:left="0" w:hanging="0"/>
      </w:pPr>
      <w:rPr/>
    </w:lvl>
    <w:lvl w:ilvl="2">
      <w:start w:val="0"/>
      <w:numFmt w:val="decimal"/>
      <w:lvlText w:val=""/>
      <w:lvlJc w:val="left"/>
      <w:pPr>
        <w:tabs>
          <w:tab w:val="num" w:pos="0"/>
        </w:tabs>
        <w:ind w:left="0" w:hanging="0"/>
      </w:pPr>
      <w:rPr/>
    </w:lvl>
    <w:lvl w:ilvl="3">
      <w:start w:val="0"/>
      <w:numFmt w:val="decimal"/>
      <w:lvlText w:val=""/>
      <w:lvlJc w:val="left"/>
      <w:pPr>
        <w:tabs>
          <w:tab w:val="num" w:pos="0"/>
        </w:tabs>
        <w:ind w:left="0" w:hanging="0"/>
      </w:pPr>
      <w:rPr/>
    </w:lvl>
    <w:lvl w:ilvl="4">
      <w:start w:val="0"/>
      <w:numFmt w:val="decimal"/>
      <w:lvlText w:val=""/>
      <w:lvlJc w:val="left"/>
      <w:pPr>
        <w:tabs>
          <w:tab w:val="num" w:pos="0"/>
        </w:tabs>
        <w:ind w:left="0" w:hanging="0"/>
      </w:pPr>
      <w:rPr/>
    </w:lvl>
    <w:lvl w:ilvl="5">
      <w:start w:val="0"/>
      <w:numFmt w:val="decimal"/>
      <w:lvlText w:val=""/>
      <w:lvlJc w:val="left"/>
      <w:pPr>
        <w:tabs>
          <w:tab w:val="num" w:pos="0"/>
        </w:tabs>
        <w:ind w:left="0" w:hanging="0"/>
      </w:pPr>
      <w:rPr/>
    </w:lvl>
    <w:lvl w:ilvl="6">
      <w:start w:val="0"/>
      <w:numFmt w:val="decimal"/>
      <w:lvlText w:val=""/>
      <w:lvlJc w:val="left"/>
      <w:pPr>
        <w:tabs>
          <w:tab w:val="num" w:pos="0"/>
        </w:tabs>
        <w:ind w:left="0" w:hanging="0"/>
      </w:pPr>
      <w:rPr/>
    </w:lvl>
    <w:lvl w:ilvl="7">
      <w:start w:val="0"/>
      <w:numFmt w:val="decimal"/>
      <w:lvlText w:val=""/>
      <w:lvlJc w:val="left"/>
      <w:pPr>
        <w:tabs>
          <w:tab w:val="num" w:pos="0"/>
        </w:tabs>
        <w:ind w:left="0" w:hanging="0"/>
      </w:pPr>
      <w:rPr/>
    </w:lvl>
    <w:lvl w:ilvl="8">
      <w:start w:val="0"/>
      <w:numFmt w:val="decimal"/>
      <w:lvlText w:val=""/>
      <w:lvlJc w:val="left"/>
      <w:pPr>
        <w:tabs>
          <w:tab w:val="num" w:pos="0"/>
        </w:tabs>
        <w:ind w:left="0" w:hanging="0"/>
      </w:pPr>
      <w:rPr/>
    </w:lvl>
  </w:abstractNum>
  <w:abstractNum w:abstractNumId="53">
    <w:lvl w:ilvl="0">
      <w:numFmt w:val="bullet"/>
      <w:lvlText w:val="-"/>
      <w:lvlJc w:val="left"/>
      <w:pPr>
        <w:tabs>
          <w:tab w:val="num" w:pos="0"/>
        </w:tabs>
        <w:ind w:left="0" w:hanging="0"/>
      </w:pPr>
      <w:rPr>
        <w:rFonts w:ascii="Verdana" w:hAnsi="Verdana" w:cs="Verdana" w:hint="default"/>
        <w:sz w:val="22"/>
        <w:spacing w:val="0"/>
        <w:i w:val="false"/>
        <w:b w:val="false"/>
        <w:szCs w:val="22"/>
        <w:iCs w:val="false"/>
        <w:bCs w:val="false"/>
        <w:w w:val="100"/>
        <w:lang w:val="it-IT" w:eastAsia="en-US" w:bidi="ar-SA"/>
      </w:rPr>
    </w:lvl>
    <w:lvl w:ilvl="1">
      <w:start w:val="0"/>
      <w:numFmt w:val="decimal"/>
      <w:lvlText w:val=""/>
      <w:lvlJc w:val="left"/>
      <w:pPr>
        <w:tabs>
          <w:tab w:val="num" w:pos="0"/>
        </w:tabs>
        <w:ind w:left="0" w:hanging="0"/>
      </w:pPr>
      <w:rPr/>
    </w:lvl>
    <w:lvl w:ilvl="2">
      <w:start w:val="0"/>
      <w:numFmt w:val="decimal"/>
      <w:lvlText w:val=""/>
      <w:lvlJc w:val="left"/>
      <w:pPr>
        <w:tabs>
          <w:tab w:val="num" w:pos="0"/>
        </w:tabs>
        <w:ind w:left="0" w:hanging="0"/>
      </w:pPr>
      <w:rPr/>
    </w:lvl>
    <w:lvl w:ilvl="3">
      <w:start w:val="0"/>
      <w:numFmt w:val="decimal"/>
      <w:lvlText w:val=""/>
      <w:lvlJc w:val="left"/>
      <w:pPr>
        <w:tabs>
          <w:tab w:val="num" w:pos="0"/>
        </w:tabs>
        <w:ind w:left="0" w:hanging="0"/>
      </w:pPr>
      <w:rPr/>
    </w:lvl>
    <w:lvl w:ilvl="4">
      <w:start w:val="0"/>
      <w:numFmt w:val="decimal"/>
      <w:lvlText w:val=""/>
      <w:lvlJc w:val="left"/>
      <w:pPr>
        <w:tabs>
          <w:tab w:val="num" w:pos="0"/>
        </w:tabs>
        <w:ind w:left="0" w:hanging="0"/>
      </w:pPr>
      <w:rPr/>
    </w:lvl>
    <w:lvl w:ilvl="5">
      <w:start w:val="0"/>
      <w:numFmt w:val="decimal"/>
      <w:lvlText w:val=""/>
      <w:lvlJc w:val="left"/>
      <w:pPr>
        <w:tabs>
          <w:tab w:val="num" w:pos="0"/>
        </w:tabs>
        <w:ind w:left="0" w:hanging="0"/>
      </w:pPr>
      <w:rPr/>
    </w:lvl>
    <w:lvl w:ilvl="6">
      <w:start w:val="0"/>
      <w:numFmt w:val="decimal"/>
      <w:lvlText w:val=""/>
      <w:lvlJc w:val="left"/>
      <w:pPr>
        <w:tabs>
          <w:tab w:val="num" w:pos="0"/>
        </w:tabs>
        <w:ind w:left="0" w:hanging="0"/>
      </w:pPr>
      <w:rPr/>
    </w:lvl>
    <w:lvl w:ilvl="7">
      <w:start w:val="0"/>
      <w:numFmt w:val="decimal"/>
      <w:lvlText w:val=""/>
      <w:lvlJc w:val="left"/>
      <w:pPr>
        <w:tabs>
          <w:tab w:val="num" w:pos="0"/>
        </w:tabs>
        <w:ind w:left="0" w:hanging="0"/>
      </w:pPr>
      <w:rPr/>
    </w:lvl>
    <w:lvl w:ilvl="8">
      <w:start w:val="0"/>
      <w:numFmt w:val="decimal"/>
      <w:lvlText w:val=""/>
      <w:lvlJc w:val="left"/>
      <w:pPr>
        <w:tabs>
          <w:tab w:val="num" w:pos="0"/>
        </w:tabs>
        <w:ind w:left="0" w:hanging="0"/>
      </w:pPr>
      <w:rPr/>
    </w:lvl>
  </w:abstractNum>
  <w:abstractNum w:abstractNumId="54">
    <w:lvl w:ilvl="0">
      <w:start w:val="1"/>
      <w:numFmt w:val="bullet"/>
      <w:lvlText w:val="-"/>
      <w:lvlJc w:val="left"/>
      <w:pPr>
        <w:tabs>
          <w:tab w:val="num" w:pos="0"/>
        </w:tabs>
        <w:ind w:left="0" w:hanging="0"/>
      </w:pPr>
      <w:rPr>
        <w:rFonts w:ascii="Times New Roman" w:hAnsi="Times New Roman" w:cs="Times New Roman" w:hint="default"/>
        <w:rFonts w:eastAsiaTheme="minorEastAsia"/>
      </w:rPr>
    </w:lvl>
    <w:lvl w:ilvl="1">
      <w:start w:val="0"/>
      <w:numFmt w:val="decimal"/>
      <w:lvlText w:val=""/>
      <w:lvlJc w:val="left"/>
      <w:pPr>
        <w:tabs>
          <w:tab w:val="num" w:pos="0"/>
        </w:tabs>
        <w:ind w:left="0" w:hanging="0"/>
      </w:pPr>
      <w:rPr/>
    </w:lvl>
    <w:lvl w:ilvl="2">
      <w:start w:val="0"/>
      <w:numFmt w:val="decimal"/>
      <w:lvlText w:val=""/>
      <w:lvlJc w:val="left"/>
      <w:pPr>
        <w:tabs>
          <w:tab w:val="num" w:pos="0"/>
        </w:tabs>
        <w:ind w:left="0" w:hanging="0"/>
      </w:pPr>
      <w:rPr/>
    </w:lvl>
    <w:lvl w:ilvl="3">
      <w:start w:val="0"/>
      <w:numFmt w:val="decimal"/>
      <w:lvlText w:val=""/>
      <w:lvlJc w:val="left"/>
      <w:pPr>
        <w:tabs>
          <w:tab w:val="num" w:pos="0"/>
        </w:tabs>
        <w:ind w:left="0" w:hanging="0"/>
      </w:pPr>
      <w:rPr/>
    </w:lvl>
    <w:lvl w:ilvl="4">
      <w:start w:val="0"/>
      <w:numFmt w:val="decimal"/>
      <w:lvlText w:val=""/>
      <w:lvlJc w:val="left"/>
      <w:pPr>
        <w:tabs>
          <w:tab w:val="num" w:pos="0"/>
        </w:tabs>
        <w:ind w:left="0" w:hanging="0"/>
      </w:pPr>
      <w:rPr/>
    </w:lvl>
    <w:lvl w:ilvl="5">
      <w:start w:val="0"/>
      <w:numFmt w:val="decimal"/>
      <w:lvlText w:val=""/>
      <w:lvlJc w:val="left"/>
      <w:pPr>
        <w:tabs>
          <w:tab w:val="num" w:pos="0"/>
        </w:tabs>
        <w:ind w:left="0" w:hanging="0"/>
      </w:pPr>
      <w:rPr/>
    </w:lvl>
    <w:lvl w:ilvl="6">
      <w:start w:val="0"/>
      <w:numFmt w:val="decimal"/>
      <w:lvlText w:val=""/>
      <w:lvlJc w:val="left"/>
      <w:pPr>
        <w:tabs>
          <w:tab w:val="num" w:pos="0"/>
        </w:tabs>
        <w:ind w:left="0" w:hanging="0"/>
      </w:pPr>
      <w:rPr/>
    </w:lvl>
    <w:lvl w:ilvl="7">
      <w:start w:val="0"/>
      <w:numFmt w:val="decimal"/>
      <w:lvlText w:val=""/>
      <w:lvlJc w:val="left"/>
      <w:pPr>
        <w:tabs>
          <w:tab w:val="num" w:pos="0"/>
        </w:tabs>
        <w:ind w:left="0" w:hanging="0"/>
      </w:pPr>
      <w:rPr/>
    </w:lvl>
    <w:lvl w:ilvl="8">
      <w:start w:val="0"/>
      <w:numFmt w:val="decimal"/>
      <w:lvlText w:val=""/>
      <w:lvlJc w:val="left"/>
      <w:pPr>
        <w:tabs>
          <w:tab w:val="num" w:pos="0"/>
        </w:tabs>
        <w:ind w:left="0" w:hanging="0"/>
      </w:pPr>
      <w:rPr/>
    </w:lvl>
  </w:abstractNum>
  <w:abstractNum w:abstractNumId="55">
    <w:lvl w:ilvl="0">
      <w:numFmt w:val="bullet"/>
      <w:lvlText w:val="-"/>
      <w:lvlJc w:val="left"/>
      <w:pPr>
        <w:tabs>
          <w:tab w:val="num" w:pos="0"/>
        </w:tabs>
        <w:ind w:left="360" w:hanging="360"/>
      </w:pPr>
      <w:rPr>
        <w:rFonts w:ascii="Verdana" w:hAnsi="Verdana" w:cs="Verdana" w:hint="default"/>
        <w:sz w:val="22"/>
        <w:spacing w:val="0"/>
        <w:i w:val="false"/>
        <w:b w:val="false"/>
        <w:szCs w:val="22"/>
        <w:iCs w:val="false"/>
        <w:bCs w:val="false"/>
        <w:w w:val="100"/>
        <w:lang w:val="it-IT" w:eastAsia="en-US" w:bidi="ar-SA"/>
      </w:rPr>
    </w:lvl>
    <w:lvl w:ilvl="1">
      <w:start w:val="1"/>
      <w:numFmt w:val="lowerLetter"/>
      <w:lvlText w:val="%2."/>
      <w:lvlJc w:val="left"/>
      <w:pPr>
        <w:tabs>
          <w:tab w:val="num" w:pos="0"/>
        </w:tabs>
        <w:ind w:left="1080" w:hanging="360"/>
      </w:pPr>
      <w:rPr/>
    </w:lvl>
    <w:lvl w:ilvl="2">
      <w:start w:val="1"/>
      <w:numFmt w:val="lowerRoman"/>
      <w:lvlText w:val="%3."/>
      <w:lvlJc w:val="right"/>
      <w:pPr>
        <w:tabs>
          <w:tab w:val="num" w:pos="0"/>
        </w:tabs>
        <w:ind w:left="1800" w:hanging="180"/>
      </w:pPr>
      <w:rPr/>
    </w:lvl>
    <w:lvl w:ilvl="3">
      <w:start w:val="1"/>
      <w:numFmt w:val="decimal"/>
      <w:lvlText w:val="%4."/>
      <w:lvlJc w:val="left"/>
      <w:pPr>
        <w:tabs>
          <w:tab w:val="num" w:pos="0"/>
        </w:tabs>
        <w:ind w:left="2520" w:hanging="360"/>
      </w:pPr>
      <w:rPr/>
    </w:lvl>
    <w:lvl w:ilvl="4">
      <w:start w:val="1"/>
      <w:numFmt w:val="lowerLetter"/>
      <w:lvlText w:val="%5."/>
      <w:lvlJc w:val="left"/>
      <w:pPr>
        <w:tabs>
          <w:tab w:val="num" w:pos="0"/>
        </w:tabs>
        <w:ind w:left="3240" w:hanging="360"/>
      </w:pPr>
      <w:rPr/>
    </w:lvl>
    <w:lvl w:ilvl="5">
      <w:start w:val="1"/>
      <w:numFmt w:val="lowerRoman"/>
      <w:lvlText w:val="%6."/>
      <w:lvlJc w:val="right"/>
      <w:pPr>
        <w:tabs>
          <w:tab w:val="num" w:pos="0"/>
        </w:tabs>
        <w:ind w:left="3960" w:hanging="180"/>
      </w:pPr>
      <w:rPr/>
    </w:lvl>
    <w:lvl w:ilvl="6">
      <w:start w:val="1"/>
      <w:numFmt w:val="decimal"/>
      <w:lvlText w:val="%7."/>
      <w:lvlJc w:val="left"/>
      <w:pPr>
        <w:tabs>
          <w:tab w:val="num" w:pos="0"/>
        </w:tabs>
        <w:ind w:left="4680" w:hanging="360"/>
      </w:pPr>
      <w:rPr/>
    </w:lvl>
    <w:lvl w:ilvl="7">
      <w:start w:val="1"/>
      <w:numFmt w:val="lowerLetter"/>
      <w:lvlText w:val="%8."/>
      <w:lvlJc w:val="left"/>
      <w:pPr>
        <w:tabs>
          <w:tab w:val="num" w:pos="0"/>
        </w:tabs>
        <w:ind w:left="5400" w:hanging="360"/>
      </w:pPr>
      <w:rPr/>
    </w:lvl>
    <w:lvl w:ilvl="8">
      <w:start w:val="1"/>
      <w:numFmt w:val="lowerRoman"/>
      <w:lvlText w:val="%9."/>
      <w:lvlJc w:val="right"/>
      <w:pPr>
        <w:tabs>
          <w:tab w:val="num" w:pos="0"/>
        </w:tabs>
        <w:ind w:left="6120" w:hanging="180"/>
      </w:pPr>
      <w:rPr/>
    </w:lvl>
  </w:abstractNum>
  <w:abstractNum w:abstractNumId="56">
    <w:lvl w:ilvl="0">
      <w:start w:val="6"/>
      <w:numFmt w:val="decimal"/>
      <w:lvlText w:val="%1"/>
      <w:lvlJc w:val="left"/>
      <w:pPr>
        <w:tabs>
          <w:tab w:val="num" w:pos="0"/>
        </w:tabs>
        <w:ind w:left="360" w:hanging="360"/>
      </w:pPr>
      <w:rPr/>
    </w:lvl>
    <w:lvl w:ilvl="1">
      <w:start w:val="8"/>
      <w:numFmt w:val="decimal"/>
      <w:lvlText w:val="%1.%2"/>
      <w:lvlJc w:val="left"/>
      <w:pPr>
        <w:tabs>
          <w:tab w:val="num" w:pos="0"/>
        </w:tabs>
        <w:ind w:left="360" w:hanging="360"/>
      </w:pPr>
      <w:rPr/>
    </w:lvl>
    <w:lvl w:ilvl="2">
      <w:start w:val="1"/>
      <w:numFmt w:val="decimal"/>
      <w:lvlText w:val="%1.%2.%3"/>
      <w:lvlJc w:val="left"/>
      <w:pPr>
        <w:tabs>
          <w:tab w:val="num" w:pos="0"/>
        </w:tabs>
        <w:ind w:left="720" w:hanging="720"/>
      </w:pPr>
      <w:rPr/>
    </w:lvl>
    <w:lvl w:ilvl="3">
      <w:start w:val="1"/>
      <w:numFmt w:val="decimal"/>
      <w:lvlText w:val="%1.%2.%3.%4"/>
      <w:lvlJc w:val="left"/>
      <w:pPr>
        <w:tabs>
          <w:tab w:val="num" w:pos="0"/>
        </w:tabs>
        <w:ind w:left="720" w:hanging="720"/>
      </w:pPr>
      <w:rPr/>
    </w:lvl>
    <w:lvl w:ilvl="4">
      <w:start w:val="1"/>
      <w:numFmt w:val="decimal"/>
      <w:lvlText w:val="%1.%2.%3.%4.%5"/>
      <w:lvlJc w:val="left"/>
      <w:pPr>
        <w:tabs>
          <w:tab w:val="num" w:pos="0"/>
        </w:tabs>
        <w:ind w:left="1080" w:hanging="1080"/>
      </w:pPr>
      <w:rPr/>
    </w:lvl>
    <w:lvl w:ilvl="5">
      <w:start w:val="1"/>
      <w:numFmt w:val="decimal"/>
      <w:lvlText w:val="%1.%2.%3.%4.%5.%6"/>
      <w:lvlJc w:val="left"/>
      <w:pPr>
        <w:tabs>
          <w:tab w:val="num" w:pos="0"/>
        </w:tabs>
        <w:ind w:left="1080" w:hanging="1080"/>
      </w:pPr>
      <w:rPr/>
    </w:lvl>
    <w:lvl w:ilvl="6">
      <w:start w:val="1"/>
      <w:numFmt w:val="decimal"/>
      <w:lvlText w:val="%1.%2.%3.%4.%5.%6.%7"/>
      <w:lvlJc w:val="left"/>
      <w:pPr>
        <w:tabs>
          <w:tab w:val="num" w:pos="0"/>
        </w:tabs>
        <w:ind w:left="1440" w:hanging="1440"/>
      </w:pPr>
      <w:rPr/>
    </w:lvl>
    <w:lvl w:ilvl="7">
      <w:start w:val="1"/>
      <w:numFmt w:val="decimal"/>
      <w:lvlText w:val="%1.%2.%3.%4.%5.%6.%7.%8"/>
      <w:lvlJc w:val="left"/>
      <w:pPr>
        <w:tabs>
          <w:tab w:val="num" w:pos="0"/>
        </w:tabs>
        <w:ind w:left="1440" w:hanging="1440"/>
      </w:pPr>
      <w:rPr/>
    </w:lvl>
    <w:lvl w:ilvl="8">
      <w:start w:val="1"/>
      <w:numFmt w:val="decimal"/>
      <w:lvlText w:val="%1.%2.%3.%4.%5.%6.%7.%8.%9"/>
      <w:lvlJc w:val="left"/>
      <w:pPr>
        <w:tabs>
          <w:tab w:val="num" w:pos="0"/>
        </w:tabs>
        <w:ind w:left="1440" w:hanging="1440"/>
      </w:pPr>
      <w:rPr/>
    </w:lvl>
  </w:abstractNum>
  <w:abstractNum w:abstractNumId="57">
    <w:lvl w:ilvl="0">
      <w:start w:val="1"/>
      <w:numFmt w:val="none"/>
      <w:suff w:val="nothing"/>
      <w:lvlText w:val=""/>
      <w:lvlJc w:val="left"/>
      <w:pPr>
        <w:tabs>
          <w:tab w:val="num" w:pos="0"/>
        </w:tabs>
        <w:ind w:left="0" w:hanging="0"/>
      </w:pPr>
    </w:lvl>
    <w:lvl w:ilvl="1">
      <w:start w:val="1"/>
      <w:numFmt w:val="none"/>
      <w:suff w:val="nothing"/>
      <w:lvlText w:val=""/>
      <w:lvlJc w:val="left"/>
      <w:pPr>
        <w:tabs>
          <w:tab w:val="num" w:pos="0"/>
        </w:tabs>
        <w:ind w:left="0" w:hanging="0"/>
      </w:pPr>
    </w:lvl>
    <w:lvl w:ilvl="2">
      <w:start w:val="1"/>
      <w:numFmt w:val="none"/>
      <w:suff w:val="nothing"/>
      <w:lvlText w:val=""/>
      <w:lvlJc w:val="left"/>
      <w:pPr>
        <w:tabs>
          <w:tab w:val="num" w:pos="0"/>
        </w:tabs>
        <w:ind w:left="0" w:hanging="0"/>
      </w:pPr>
    </w:lvl>
    <w:lvl w:ilvl="3">
      <w:start w:val="1"/>
      <w:numFmt w:val="none"/>
      <w:suff w:val="nothing"/>
      <w:lvlText w:val=""/>
      <w:lvlJc w:val="left"/>
      <w:pPr>
        <w:tabs>
          <w:tab w:val="num" w:pos="0"/>
        </w:tabs>
        <w:ind w:left="0" w:hanging="0"/>
      </w:pPr>
    </w:lvl>
    <w:lvl w:ilvl="4">
      <w:start w:val="1"/>
      <w:numFmt w:val="none"/>
      <w:suff w:val="nothing"/>
      <w:lvlText w:val=""/>
      <w:lvlJc w:val="left"/>
      <w:pPr>
        <w:tabs>
          <w:tab w:val="num" w:pos="0"/>
        </w:tabs>
        <w:ind w:left="0" w:hanging="0"/>
      </w:pPr>
    </w:lvl>
    <w:lvl w:ilvl="5">
      <w:start w:val="1"/>
      <w:numFmt w:val="none"/>
      <w:suff w:val="nothing"/>
      <w:lvlText w:val=""/>
      <w:lvlJc w:val="left"/>
      <w:pPr>
        <w:tabs>
          <w:tab w:val="num" w:pos="0"/>
        </w:tabs>
        <w:ind w:left="0" w:hanging="0"/>
      </w:pPr>
    </w:lvl>
    <w:lvl w:ilvl="6">
      <w:start w:val="1"/>
      <w:numFmt w:val="none"/>
      <w:suff w:val="nothing"/>
      <w:lvlText w:val=""/>
      <w:lvlJc w:val="left"/>
      <w:pPr>
        <w:tabs>
          <w:tab w:val="num" w:pos="0"/>
        </w:tabs>
        <w:ind w:left="0" w:hanging="0"/>
      </w:pPr>
    </w:lvl>
    <w:lvl w:ilvl="7">
      <w:start w:val="1"/>
      <w:numFmt w:val="none"/>
      <w:suff w:val="nothing"/>
      <w:lvlText w:val=""/>
      <w:lvlJc w:val="left"/>
      <w:pPr>
        <w:tabs>
          <w:tab w:val="num" w:pos="0"/>
        </w:tabs>
        <w:ind w:left="0" w:hanging="0"/>
      </w:pPr>
    </w:lvl>
    <w:lvl w:ilvl="8">
      <w:start w:val="1"/>
      <w:numFmt w:val="none"/>
      <w:suff w:val="nothing"/>
      <w:lvlText w:val=""/>
      <w:lvlJc w:val="left"/>
      <w:pPr>
        <w:tabs>
          <w:tab w:val="num" w:pos="0"/>
        </w:tabs>
        <w:ind w:left="0" w:hanging="0"/>
      </w:p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 w:numId="55">
    <w:abstractNumId w:val="55"/>
  </w:num>
  <w:num w:numId="56">
    <w:abstractNumId w:val="56"/>
  </w:num>
  <w:num w:numId="57">
    <w:abstractNumId w:val="57"/>
  </w:num>
</w:numbering>
</file>

<file path=word/settings.xml><?xml version="1.0" encoding="utf-8"?>
<w:settings xmlns:w="http://schemas.openxmlformats.org/wordprocessingml/2006/main">
  <w:zoom w:percent="100"/>
  <w:defaultTabStop w:val="720"/>
  <w:autoHyphenation w:val="true"/>
  <w:footnotePr>
    <w:numFmt w:val="decimal"/>
    <w:footnote w:id="0"/>
    <w:footnote w:id="1"/>
  </w:foot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hyphenationZone w:val="283"/>
  <w:themeFontLang w:val="it-IT"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Calibri" w:hAnsi="Calibri" w:eastAsia="Calibri" w:cs="" w:asciiTheme="minorHAnsi" w:cstheme="minorBidi" w:eastAsiaTheme="minorHAnsi" w:hAnsiTheme="minorHAnsi"/>
        <w:sz w:val="22"/>
        <w:szCs w:val="22"/>
        <w:lang w:val="en-US" w:eastAsia="en-US" w:bidi="ar-SA"/>
      </w:rPr>
    </w:rPrDefault>
    <w:pPrDefault>
      <w:pPr>
        <w:suppressAutoHyphens w:val="true"/>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uiPriority="1"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fa7b15"/>
    <w:pPr>
      <w:widowControl w:val="false"/>
      <w:bidi w:val="0"/>
      <w:spacing w:before="0" w:after="0"/>
      <w:jc w:val="left"/>
    </w:pPr>
    <w:rPr>
      <w:rFonts w:ascii="Aptos" w:hAnsi="Aptos" w:eastAsia="Titillium Web SemiBold" w:cs="Titillium Web SemiBold"/>
      <w:color w:val="164194"/>
      <w:kern w:val="0"/>
      <w:sz w:val="22"/>
      <w:szCs w:val="22"/>
      <w:lang w:val="it-IT" w:eastAsia="en-US" w:bidi="ar-SA"/>
    </w:rPr>
  </w:style>
  <w:style w:type="paragraph" w:styleId="Titolo1">
    <w:name w:val="Heading 1"/>
    <w:basedOn w:val="Normal"/>
    <w:next w:val="Normal"/>
    <w:link w:val="Titolo1Carattere"/>
    <w:uiPriority w:val="9"/>
    <w:qFormat/>
    <w:rsid w:val="00b47ca8"/>
    <w:pPr>
      <w:keepNext w:val="true"/>
      <w:keepLines/>
      <w:spacing w:before="240" w:after="0"/>
      <w:outlineLvl w:val="0"/>
    </w:pPr>
    <w:rPr>
      <w:rFonts w:ascii="Cambria" w:hAnsi="Cambria" w:eastAsia="" w:cs="" w:asciiTheme="majorHAnsi" w:cstheme="majorBidi" w:eastAsiaTheme="majorEastAsia" w:hAnsiTheme="majorHAnsi"/>
      <w:color w:val="365F91" w:themeColor="accent1" w:themeShade="bf"/>
      <w:sz w:val="32"/>
      <w:szCs w:val="32"/>
    </w:rPr>
  </w:style>
  <w:style w:type="paragraph" w:styleId="Titolo2">
    <w:name w:val="Heading 2"/>
    <w:basedOn w:val="Normal"/>
    <w:next w:val="Normal"/>
    <w:link w:val="Titolo2Carattere"/>
    <w:uiPriority w:val="9"/>
    <w:unhideWhenUsed/>
    <w:qFormat/>
    <w:rsid w:val="00797880"/>
    <w:pPr>
      <w:keepNext w:val="true"/>
      <w:keepLines/>
      <w:spacing w:before="40" w:after="0"/>
      <w:outlineLvl w:val="1"/>
    </w:pPr>
    <w:rPr>
      <w:rFonts w:ascii="Cambria" w:hAnsi="Cambria" w:eastAsia="" w:cs="" w:asciiTheme="majorHAnsi" w:cstheme="majorBidi" w:eastAsiaTheme="majorEastAsia" w:hAnsiTheme="majorHAnsi"/>
      <w:color w:val="365F91" w:themeColor="accent1" w:themeShade="bf"/>
      <w:sz w:val="26"/>
      <w:szCs w:val="26"/>
    </w:rPr>
  </w:style>
  <w:style w:type="paragraph" w:styleId="Titolo3">
    <w:name w:val="Heading 3"/>
    <w:basedOn w:val="Normal"/>
    <w:next w:val="Normal"/>
    <w:link w:val="Titolo3Carattere"/>
    <w:uiPriority w:val="9"/>
    <w:unhideWhenUsed/>
    <w:qFormat/>
    <w:rsid w:val="00f90f09"/>
    <w:pPr>
      <w:keepNext w:val="true"/>
      <w:keepLines/>
      <w:spacing w:before="40" w:after="0"/>
      <w:outlineLvl w:val="2"/>
    </w:pPr>
    <w:rPr>
      <w:rFonts w:ascii="Cambria" w:hAnsi="Cambria" w:eastAsia="" w:cs="" w:asciiTheme="majorHAnsi" w:cstheme="majorBidi" w:eastAsiaTheme="majorEastAsia" w:hAnsiTheme="majorHAnsi"/>
      <w:color w:val="243F60" w:themeColor="accent1" w:themeShade="7f"/>
      <w:sz w:val="24"/>
      <w:szCs w:val="24"/>
    </w:rPr>
  </w:style>
  <w:style w:type="paragraph" w:styleId="Titolo4">
    <w:name w:val="Heading 4"/>
    <w:basedOn w:val="Normal"/>
    <w:next w:val="Normal"/>
    <w:link w:val="Titolo4Carattere"/>
    <w:uiPriority w:val="9"/>
    <w:semiHidden/>
    <w:unhideWhenUsed/>
    <w:qFormat/>
    <w:rsid w:val="00797880"/>
    <w:pPr>
      <w:keepNext w:val="true"/>
      <w:keepLines/>
      <w:widowControl/>
      <w:spacing w:lineRule="auto" w:line="259" w:before="40" w:after="0"/>
      <w:outlineLvl w:val="3"/>
    </w:pPr>
    <w:rPr>
      <w:rFonts w:ascii="Cambria" w:hAnsi="Cambria" w:eastAsia="" w:cs="" w:asciiTheme="majorHAnsi" w:cstheme="majorBidi" w:eastAsiaTheme="majorEastAsia" w:hAnsiTheme="majorHAnsi"/>
      <w:color w:val="365F91" w:themeColor="accent1" w:themeShade="bf"/>
      <w:sz w:val="24"/>
      <w:szCs w:val="24"/>
      <w:lang w:eastAsia="it-IT"/>
    </w:rPr>
  </w:style>
  <w:style w:type="paragraph" w:styleId="Titolo5">
    <w:name w:val="Heading 5"/>
    <w:basedOn w:val="Normal"/>
    <w:next w:val="Normal"/>
    <w:link w:val="Titolo5Carattere"/>
    <w:uiPriority w:val="9"/>
    <w:semiHidden/>
    <w:unhideWhenUsed/>
    <w:qFormat/>
    <w:rsid w:val="00797880"/>
    <w:pPr>
      <w:keepNext w:val="true"/>
      <w:keepLines/>
      <w:widowControl/>
      <w:spacing w:lineRule="auto" w:line="259" w:before="40" w:after="0"/>
      <w:outlineLvl w:val="4"/>
    </w:pPr>
    <w:rPr>
      <w:rFonts w:ascii="Cambria" w:hAnsi="Cambria" w:eastAsia="" w:cs="" w:asciiTheme="majorHAnsi" w:cstheme="majorBidi" w:eastAsiaTheme="majorEastAsia" w:hAnsiTheme="majorHAnsi"/>
      <w:caps/>
      <w:color w:val="365F91" w:themeColor="accent1" w:themeShade="bf"/>
      <w:lang w:eastAsia="it-IT"/>
    </w:rPr>
  </w:style>
  <w:style w:type="paragraph" w:styleId="Titolo6">
    <w:name w:val="Heading 6"/>
    <w:basedOn w:val="Normal"/>
    <w:next w:val="Normal"/>
    <w:link w:val="Titolo6Carattere"/>
    <w:uiPriority w:val="9"/>
    <w:semiHidden/>
    <w:unhideWhenUsed/>
    <w:qFormat/>
    <w:rsid w:val="00797880"/>
    <w:pPr>
      <w:keepNext w:val="true"/>
      <w:keepLines/>
      <w:widowControl/>
      <w:spacing w:lineRule="auto" w:line="259" w:before="40" w:after="0"/>
      <w:outlineLvl w:val="5"/>
    </w:pPr>
    <w:rPr>
      <w:rFonts w:ascii="Cambria" w:hAnsi="Cambria" w:eastAsia="" w:cs="" w:asciiTheme="majorHAnsi" w:cstheme="majorBidi" w:eastAsiaTheme="majorEastAsia" w:hAnsiTheme="majorHAnsi"/>
      <w:i/>
      <w:iCs/>
      <w:caps/>
      <w:color w:val="244061" w:themeColor="accent1" w:themeShade="80"/>
      <w:lang w:eastAsia="it-IT"/>
    </w:rPr>
  </w:style>
  <w:style w:type="paragraph" w:styleId="Titolo7">
    <w:name w:val="Heading 7"/>
    <w:basedOn w:val="Normal"/>
    <w:next w:val="Normal"/>
    <w:link w:val="Titolo7Carattere"/>
    <w:uiPriority w:val="9"/>
    <w:semiHidden/>
    <w:unhideWhenUsed/>
    <w:qFormat/>
    <w:rsid w:val="00797880"/>
    <w:pPr>
      <w:keepNext w:val="true"/>
      <w:keepLines/>
      <w:widowControl/>
      <w:spacing w:lineRule="auto" w:line="259" w:before="40" w:after="0"/>
      <w:outlineLvl w:val="6"/>
    </w:pPr>
    <w:rPr>
      <w:rFonts w:ascii="Cambria" w:hAnsi="Cambria" w:eastAsia="" w:cs="" w:asciiTheme="majorHAnsi" w:cstheme="majorBidi" w:eastAsiaTheme="majorEastAsia" w:hAnsiTheme="majorHAnsi"/>
      <w:b/>
      <w:bCs/>
      <w:color w:val="244061" w:themeColor="accent1" w:themeShade="80"/>
      <w:lang w:eastAsia="it-IT"/>
    </w:rPr>
  </w:style>
  <w:style w:type="paragraph" w:styleId="Titolo8">
    <w:name w:val="Heading 8"/>
    <w:basedOn w:val="Normal"/>
    <w:next w:val="Normal"/>
    <w:link w:val="Titolo8Carattere"/>
    <w:uiPriority w:val="9"/>
    <w:semiHidden/>
    <w:unhideWhenUsed/>
    <w:qFormat/>
    <w:rsid w:val="00797880"/>
    <w:pPr>
      <w:keepNext w:val="true"/>
      <w:keepLines/>
      <w:widowControl/>
      <w:spacing w:lineRule="auto" w:line="259" w:before="40" w:after="0"/>
      <w:outlineLvl w:val="7"/>
    </w:pPr>
    <w:rPr>
      <w:rFonts w:ascii="Cambria" w:hAnsi="Cambria" w:eastAsia="" w:cs="" w:asciiTheme="majorHAnsi" w:cstheme="majorBidi" w:eastAsiaTheme="majorEastAsia" w:hAnsiTheme="majorHAnsi"/>
      <w:b/>
      <w:bCs/>
      <w:i/>
      <w:iCs/>
      <w:color w:val="244061" w:themeColor="accent1" w:themeShade="80"/>
      <w:lang w:eastAsia="it-IT"/>
    </w:rPr>
  </w:style>
  <w:style w:type="paragraph" w:styleId="Titolo9">
    <w:name w:val="Heading 9"/>
    <w:basedOn w:val="Normal"/>
    <w:next w:val="Normal"/>
    <w:link w:val="Titolo9Carattere"/>
    <w:uiPriority w:val="9"/>
    <w:semiHidden/>
    <w:unhideWhenUsed/>
    <w:qFormat/>
    <w:rsid w:val="00797880"/>
    <w:pPr>
      <w:keepNext w:val="true"/>
      <w:keepLines/>
      <w:widowControl/>
      <w:spacing w:lineRule="auto" w:line="259" w:before="40" w:after="0"/>
      <w:outlineLvl w:val="8"/>
    </w:pPr>
    <w:rPr>
      <w:rFonts w:ascii="Cambria" w:hAnsi="Cambria" w:eastAsia="" w:cs="" w:asciiTheme="majorHAnsi" w:cstheme="majorBidi" w:eastAsiaTheme="majorEastAsia" w:hAnsiTheme="majorHAnsi"/>
      <w:i/>
      <w:iCs/>
      <w:color w:val="244061" w:themeColor="accent1" w:themeShade="80"/>
      <w:lang w:eastAsia="it-IT"/>
    </w:rPr>
  </w:style>
  <w:style w:type="character" w:styleId="DefaultParagraphFont" w:default="1">
    <w:name w:val="Default Paragraph Font"/>
    <w:uiPriority w:val="1"/>
    <w:semiHidden/>
    <w:unhideWhenUsed/>
    <w:qFormat/>
    <w:rPr/>
  </w:style>
  <w:style w:type="character" w:styleId="Titolo1Carattere" w:customStyle="1">
    <w:name w:val="Titolo 1 Carattere"/>
    <w:basedOn w:val="DefaultParagraphFont"/>
    <w:uiPriority w:val="9"/>
    <w:qFormat/>
    <w:rsid w:val="00b47ca8"/>
    <w:rPr>
      <w:rFonts w:ascii="Cambria" w:hAnsi="Cambria" w:eastAsia="" w:cs="" w:asciiTheme="majorHAnsi" w:cstheme="majorBidi" w:eastAsiaTheme="majorEastAsia" w:hAnsiTheme="majorHAnsi"/>
      <w:color w:val="365F91" w:themeColor="accent1" w:themeShade="bf"/>
      <w:sz w:val="32"/>
      <w:szCs w:val="32"/>
      <w:lang w:val="it-IT"/>
    </w:rPr>
  </w:style>
  <w:style w:type="character" w:styleId="IntestazioneCarattere" w:customStyle="1">
    <w:name w:val="Intestazione Carattere"/>
    <w:basedOn w:val="DefaultParagraphFont"/>
    <w:uiPriority w:val="99"/>
    <w:qFormat/>
    <w:rsid w:val="00b47ca8"/>
    <w:rPr>
      <w:rFonts w:ascii="Titillium Web SemiBold" w:hAnsi="Titillium Web SemiBold" w:eastAsia="Titillium Web SemiBold" w:cs="Titillium Web SemiBold"/>
      <w:lang w:val="it-IT"/>
    </w:rPr>
  </w:style>
  <w:style w:type="character" w:styleId="PidipaginaCarattere" w:customStyle="1">
    <w:name w:val="Piè di pagina Carattere"/>
    <w:basedOn w:val="DefaultParagraphFont"/>
    <w:uiPriority w:val="99"/>
    <w:qFormat/>
    <w:rsid w:val="00b47ca8"/>
    <w:rPr>
      <w:rFonts w:ascii="Titillium Web SemiBold" w:hAnsi="Titillium Web SemiBold" w:eastAsia="Titillium Web SemiBold" w:cs="Titillium Web SemiBold"/>
      <w:lang w:val="it-IT"/>
    </w:rPr>
  </w:style>
  <w:style w:type="character" w:styleId="CollegamentoInternet">
    <w:name w:val="Collegamento Internet"/>
    <w:uiPriority w:val="99"/>
    <w:unhideWhenUsed/>
    <w:rsid w:val="0050192d"/>
    <w:rPr>
      <w:color w:val="0000FF"/>
      <w:u w:val="single"/>
    </w:rPr>
  </w:style>
  <w:style w:type="character" w:styleId="Titolo3Carattere" w:customStyle="1">
    <w:name w:val="Titolo 3 Carattere"/>
    <w:basedOn w:val="DefaultParagraphFont"/>
    <w:uiPriority w:val="9"/>
    <w:qFormat/>
    <w:rsid w:val="00f90f09"/>
    <w:rPr>
      <w:rFonts w:ascii="Cambria" w:hAnsi="Cambria" w:eastAsia="" w:cs="" w:asciiTheme="majorHAnsi" w:cstheme="majorBidi" w:eastAsiaTheme="majorEastAsia" w:hAnsiTheme="majorHAnsi"/>
      <w:color w:val="243F60" w:themeColor="accent1" w:themeShade="7f"/>
      <w:sz w:val="24"/>
      <w:szCs w:val="24"/>
      <w:lang w:val="it-IT"/>
    </w:rPr>
  </w:style>
  <w:style w:type="character" w:styleId="Titolo2Carattere" w:customStyle="1">
    <w:name w:val="Titolo 2 Carattere"/>
    <w:basedOn w:val="DefaultParagraphFont"/>
    <w:uiPriority w:val="9"/>
    <w:qFormat/>
    <w:rsid w:val="00797880"/>
    <w:rPr>
      <w:rFonts w:ascii="Cambria" w:hAnsi="Cambria" w:eastAsia="" w:cs="" w:asciiTheme="majorHAnsi" w:cstheme="majorBidi" w:eastAsiaTheme="majorEastAsia" w:hAnsiTheme="majorHAnsi"/>
      <w:color w:val="365F91" w:themeColor="accent1" w:themeShade="bf"/>
      <w:sz w:val="26"/>
      <w:szCs w:val="26"/>
      <w:lang w:val="it-IT"/>
    </w:rPr>
  </w:style>
  <w:style w:type="character" w:styleId="Titolo4Carattere" w:customStyle="1">
    <w:name w:val="Titolo 4 Carattere"/>
    <w:basedOn w:val="DefaultParagraphFont"/>
    <w:uiPriority w:val="9"/>
    <w:semiHidden/>
    <w:qFormat/>
    <w:rsid w:val="00797880"/>
    <w:rPr>
      <w:rFonts w:ascii="Cambria" w:hAnsi="Cambria" w:eastAsia="" w:cs="" w:asciiTheme="majorHAnsi" w:cstheme="majorBidi" w:eastAsiaTheme="majorEastAsia" w:hAnsiTheme="majorHAnsi"/>
      <w:color w:val="365F91" w:themeColor="accent1" w:themeShade="bf"/>
      <w:sz w:val="24"/>
      <w:szCs w:val="24"/>
      <w:lang w:val="it-IT" w:eastAsia="it-IT"/>
    </w:rPr>
  </w:style>
  <w:style w:type="character" w:styleId="Titolo5Carattere" w:customStyle="1">
    <w:name w:val="Titolo 5 Carattere"/>
    <w:basedOn w:val="DefaultParagraphFont"/>
    <w:uiPriority w:val="9"/>
    <w:semiHidden/>
    <w:qFormat/>
    <w:rsid w:val="00797880"/>
    <w:rPr>
      <w:rFonts w:ascii="Cambria" w:hAnsi="Cambria" w:eastAsia="" w:cs="" w:asciiTheme="majorHAnsi" w:cstheme="majorBidi" w:eastAsiaTheme="majorEastAsia" w:hAnsiTheme="majorHAnsi"/>
      <w:caps/>
      <w:color w:val="365F91" w:themeColor="accent1" w:themeShade="bf"/>
      <w:lang w:val="it-IT" w:eastAsia="it-IT"/>
    </w:rPr>
  </w:style>
  <w:style w:type="character" w:styleId="Titolo6Carattere" w:customStyle="1">
    <w:name w:val="Titolo 6 Carattere"/>
    <w:basedOn w:val="DefaultParagraphFont"/>
    <w:uiPriority w:val="9"/>
    <w:semiHidden/>
    <w:qFormat/>
    <w:rsid w:val="00797880"/>
    <w:rPr>
      <w:rFonts w:ascii="Cambria" w:hAnsi="Cambria" w:eastAsia="" w:cs="" w:asciiTheme="majorHAnsi" w:cstheme="majorBidi" w:eastAsiaTheme="majorEastAsia" w:hAnsiTheme="majorHAnsi"/>
      <w:i/>
      <w:iCs/>
      <w:caps/>
      <w:color w:val="244061" w:themeColor="accent1" w:themeShade="80"/>
      <w:lang w:val="it-IT" w:eastAsia="it-IT"/>
    </w:rPr>
  </w:style>
  <w:style w:type="character" w:styleId="Titolo7Carattere" w:customStyle="1">
    <w:name w:val="Titolo 7 Carattere"/>
    <w:basedOn w:val="DefaultParagraphFont"/>
    <w:uiPriority w:val="9"/>
    <w:semiHidden/>
    <w:qFormat/>
    <w:rsid w:val="00797880"/>
    <w:rPr>
      <w:rFonts w:ascii="Cambria" w:hAnsi="Cambria" w:eastAsia="" w:cs="" w:asciiTheme="majorHAnsi" w:cstheme="majorBidi" w:eastAsiaTheme="majorEastAsia" w:hAnsiTheme="majorHAnsi"/>
      <w:b/>
      <w:bCs/>
      <w:color w:val="244061" w:themeColor="accent1" w:themeShade="80"/>
      <w:lang w:val="it-IT" w:eastAsia="it-IT"/>
    </w:rPr>
  </w:style>
  <w:style w:type="character" w:styleId="Titolo8Carattere" w:customStyle="1">
    <w:name w:val="Titolo 8 Carattere"/>
    <w:basedOn w:val="DefaultParagraphFont"/>
    <w:uiPriority w:val="9"/>
    <w:semiHidden/>
    <w:qFormat/>
    <w:rsid w:val="00797880"/>
    <w:rPr>
      <w:rFonts w:ascii="Cambria" w:hAnsi="Cambria" w:eastAsia="" w:cs="" w:asciiTheme="majorHAnsi" w:cstheme="majorBidi" w:eastAsiaTheme="majorEastAsia" w:hAnsiTheme="majorHAnsi"/>
      <w:b/>
      <w:bCs/>
      <w:i/>
      <w:iCs/>
      <w:color w:val="244061" w:themeColor="accent1" w:themeShade="80"/>
      <w:lang w:val="it-IT" w:eastAsia="it-IT"/>
    </w:rPr>
  </w:style>
  <w:style w:type="character" w:styleId="Titolo9Carattere" w:customStyle="1">
    <w:name w:val="Titolo 9 Carattere"/>
    <w:basedOn w:val="DefaultParagraphFont"/>
    <w:uiPriority w:val="9"/>
    <w:semiHidden/>
    <w:qFormat/>
    <w:rsid w:val="00797880"/>
    <w:rPr>
      <w:rFonts w:ascii="Cambria" w:hAnsi="Cambria" w:eastAsia="" w:cs="" w:asciiTheme="majorHAnsi" w:cstheme="majorBidi" w:eastAsiaTheme="majorEastAsia" w:hAnsiTheme="majorHAnsi"/>
      <w:i/>
      <w:iCs/>
      <w:color w:val="244061" w:themeColor="accent1" w:themeShade="80"/>
      <w:lang w:val="it-IT" w:eastAsia="it-IT"/>
    </w:rPr>
  </w:style>
  <w:style w:type="character" w:styleId="CorpotestoCarattere" w:customStyle="1">
    <w:name w:val="Corpo testo Carattere"/>
    <w:basedOn w:val="DefaultParagraphFont"/>
    <w:uiPriority w:val="1"/>
    <w:qFormat/>
    <w:rsid w:val="00797880"/>
    <w:rPr>
      <w:rFonts w:eastAsia="" w:eastAsiaTheme="minorEastAsia"/>
      <w:lang w:val="it-IT" w:eastAsia="it-IT"/>
    </w:rPr>
  </w:style>
  <w:style w:type="character" w:styleId="Menzionenonrisolta1" w:customStyle="1">
    <w:name w:val="Menzione non risolta1"/>
    <w:basedOn w:val="DefaultParagraphFont"/>
    <w:uiPriority w:val="99"/>
    <w:semiHidden/>
    <w:unhideWhenUsed/>
    <w:qFormat/>
    <w:rsid w:val="00797880"/>
    <w:rPr>
      <w:color w:val="605E5C"/>
      <w:shd w:fill="E1DFDD" w:val="clear"/>
    </w:rPr>
  </w:style>
  <w:style w:type="character" w:styleId="TestofumettoCarattere" w:customStyle="1">
    <w:name w:val="Testo fumetto Carattere"/>
    <w:basedOn w:val="DefaultParagraphFont"/>
    <w:link w:val="BalloonText"/>
    <w:uiPriority w:val="99"/>
    <w:semiHidden/>
    <w:qFormat/>
    <w:rsid w:val="00797880"/>
    <w:rPr>
      <w:rFonts w:eastAsia="" w:eastAsiaTheme="minorEastAsia"/>
      <w:sz w:val="18"/>
      <w:szCs w:val="18"/>
      <w:lang w:val="it-IT" w:eastAsia="it-IT"/>
    </w:rPr>
  </w:style>
  <w:style w:type="character" w:styleId="Menzionenonrisolta2" w:customStyle="1">
    <w:name w:val="Menzione non risolta2"/>
    <w:basedOn w:val="DefaultParagraphFont"/>
    <w:uiPriority w:val="99"/>
    <w:semiHidden/>
    <w:unhideWhenUsed/>
    <w:qFormat/>
    <w:rsid w:val="00797880"/>
    <w:rPr>
      <w:color w:val="605E5C"/>
      <w:shd w:fill="E1DFDD" w:val="clear"/>
    </w:rPr>
  </w:style>
  <w:style w:type="character" w:styleId="Menzionenonrisolta3" w:customStyle="1">
    <w:name w:val="Menzione non risolta3"/>
    <w:basedOn w:val="DefaultParagraphFont"/>
    <w:uiPriority w:val="99"/>
    <w:semiHidden/>
    <w:unhideWhenUsed/>
    <w:qFormat/>
    <w:rsid w:val="00797880"/>
    <w:rPr>
      <w:color w:val="605E5C"/>
      <w:shd w:fill="E1DFDD" w:val="clear"/>
    </w:rPr>
  </w:style>
  <w:style w:type="character" w:styleId="SottotitoloCarattere" w:customStyle="1">
    <w:name w:val="Sottotitolo Carattere"/>
    <w:basedOn w:val="DefaultParagraphFont"/>
    <w:uiPriority w:val="11"/>
    <w:qFormat/>
    <w:rsid w:val="00797880"/>
    <w:rPr>
      <w:rFonts w:ascii="Cambria" w:hAnsi="Cambria" w:eastAsia="" w:cs="" w:asciiTheme="majorHAnsi" w:cstheme="majorBidi" w:eastAsiaTheme="majorEastAsia" w:hAnsiTheme="majorHAnsi"/>
      <w:color w:val="4F81BD" w:themeColor="accent1"/>
      <w:sz w:val="28"/>
      <w:szCs w:val="28"/>
      <w:lang w:val="it-IT" w:eastAsia="it-IT"/>
    </w:rPr>
  </w:style>
  <w:style w:type="character" w:styleId="TitoloCarattere" w:customStyle="1">
    <w:name w:val="Titolo Carattere"/>
    <w:basedOn w:val="DefaultParagraphFont"/>
    <w:uiPriority w:val="10"/>
    <w:qFormat/>
    <w:rsid w:val="00797880"/>
    <w:rPr>
      <w:rFonts w:ascii="Aptos" w:hAnsi="Aptos" w:eastAsia="Titillium Web SemiBold" w:cs="Titillium Web SemiBold"/>
      <w:b/>
      <w:bCs/>
      <w:color w:val="164194"/>
      <w:sz w:val="64"/>
      <w:szCs w:val="64"/>
      <w:lang w:val="it-IT"/>
    </w:rPr>
  </w:style>
  <w:style w:type="character" w:styleId="CitazioneCarattere" w:customStyle="1">
    <w:name w:val="Citazione Carattere"/>
    <w:basedOn w:val="DefaultParagraphFont"/>
    <w:link w:val="Quote"/>
    <w:uiPriority w:val="29"/>
    <w:qFormat/>
    <w:rsid w:val="00797880"/>
    <w:rPr>
      <w:rFonts w:eastAsia="" w:eastAsiaTheme="minorEastAsia"/>
      <w:color w:val="1F497D" w:themeColor="text2"/>
      <w:sz w:val="24"/>
      <w:szCs w:val="24"/>
      <w:lang w:val="it-IT" w:eastAsia="it-IT"/>
    </w:rPr>
  </w:style>
  <w:style w:type="character" w:styleId="IntenseEmphasis">
    <w:name w:val="Intense Emphasis"/>
    <w:basedOn w:val="DefaultParagraphFont"/>
    <w:uiPriority w:val="21"/>
    <w:qFormat/>
    <w:rsid w:val="00797880"/>
    <w:rPr>
      <w:b/>
      <w:bCs/>
      <w:i/>
      <w:iCs/>
    </w:rPr>
  </w:style>
  <w:style w:type="character" w:styleId="CitazioneintensaCarattere" w:customStyle="1">
    <w:name w:val="Citazione intensa Carattere"/>
    <w:basedOn w:val="DefaultParagraphFont"/>
    <w:link w:val="IntenseQuote"/>
    <w:uiPriority w:val="30"/>
    <w:qFormat/>
    <w:rsid w:val="00797880"/>
    <w:rPr>
      <w:rFonts w:ascii="Cambria" w:hAnsi="Cambria" w:eastAsia="" w:cs="" w:asciiTheme="majorHAnsi" w:cstheme="majorBidi" w:eastAsiaTheme="majorEastAsia" w:hAnsiTheme="majorHAnsi"/>
      <w:color w:val="1F497D" w:themeColor="text2"/>
      <w:spacing w:val="-6"/>
      <w:sz w:val="32"/>
      <w:szCs w:val="32"/>
      <w:lang w:val="it-IT" w:eastAsia="it-IT"/>
    </w:rPr>
  </w:style>
  <w:style w:type="character" w:styleId="IntenseReference">
    <w:name w:val="Intense Reference"/>
    <w:basedOn w:val="DefaultParagraphFont"/>
    <w:uiPriority w:val="32"/>
    <w:qFormat/>
    <w:rsid w:val="00797880"/>
    <w:rPr>
      <w:b/>
      <w:bCs/>
      <w:smallCaps/>
      <w:color w:val="1F497D" w:themeColor="text2"/>
      <w:u w:val="single"/>
    </w:rPr>
  </w:style>
  <w:style w:type="character" w:styleId="ParagrafoelencoCarattere" w:customStyle="1">
    <w:name w:val="Paragrafo elenco Carattere"/>
    <w:link w:val="ListParagraph"/>
    <w:uiPriority w:val="1"/>
    <w:qFormat/>
    <w:locked/>
    <w:rsid w:val="00797880"/>
    <w:rPr>
      <w:rFonts w:ascii="Aptos" w:hAnsi="Aptos" w:eastAsia="Titillium Web SemiBold" w:cs="Titillium Web SemiBold"/>
      <w:color w:val="164194"/>
      <w:lang w:val="it-IT"/>
    </w:rPr>
  </w:style>
  <w:style w:type="character" w:styleId="BookTitle">
    <w:name w:val="Book Title"/>
    <w:basedOn w:val="DefaultParagraphFont"/>
    <w:uiPriority w:val="33"/>
    <w:qFormat/>
    <w:rsid w:val="00797880"/>
    <w:rPr>
      <w:b/>
      <w:bCs/>
      <w:smallCaps/>
      <w:spacing w:val="10"/>
    </w:rPr>
  </w:style>
  <w:style w:type="character" w:styleId="TestonotaapidipaginaCarattere" w:customStyle="1">
    <w:name w:val="Testo nota a piè di pagina Carattere"/>
    <w:basedOn w:val="DefaultParagraphFont"/>
    <w:uiPriority w:val="99"/>
    <w:semiHidden/>
    <w:qFormat/>
    <w:rsid w:val="00797880"/>
    <w:rPr>
      <w:rFonts w:eastAsia="" w:eastAsiaTheme="minorEastAsia"/>
      <w:lang w:val="it-IT"/>
    </w:rPr>
  </w:style>
  <w:style w:type="character" w:styleId="Richiamoallanotaapidipagina">
    <w:name w:val="Richiamo alla nota a piè di pagina"/>
    <w:rPr>
      <w:vertAlign w:val="superscript"/>
    </w:rPr>
  </w:style>
  <w:style w:type="character" w:styleId="FootnoteCharacters">
    <w:name w:val="Footnote Characters"/>
    <w:basedOn w:val="DefaultParagraphFont"/>
    <w:uiPriority w:val="99"/>
    <w:semiHidden/>
    <w:unhideWhenUsed/>
    <w:qFormat/>
    <w:rsid w:val="00797880"/>
    <w:rPr>
      <w:vertAlign w:val="superscript"/>
    </w:rPr>
  </w:style>
  <w:style w:type="character" w:styleId="Strong">
    <w:name w:val="Strong"/>
    <w:basedOn w:val="DefaultParagraphFont"/>
    <w:uiPriority w:val="22"/>
    <w:qFormat/>
    <w:rsid w:val="00797880"/>
    <w:rPr>
      <w:b/>
      <w:bCs/>
    </w:rPr>
  </w:style>
  <w:style w:type="character" w:styleId="Enfasi">
    <w:name w:val="Enfasi"/>
    <w:basedOn w:val="DefaultParagraphFont"/>
    <w:uiPriority w:val="20"/>
    <w:qFormat/>
    <w:rsid w:val="00797880"/>
    <w:rPr>
      <w:i/>
      <w:iCs/>
    </w:rPr>
  </w:style>
  <w:style w:type="character" w:styleId="SubtleEmphasis">
    <w:name w:val="Subtle Emphasis"/>
    <w:basedOn w:val="DefaultParagraphFont"/>
    <w:uiPriority w:val="19"/>
    <w:qFormat/>
    <w:rsid w:val="00797880"/>
    <w:rPr>
      <w:i/>
      <w:iCs/>
      <w:color w:val="595959" w:themeColor="text1" w:themeTint="a6"/>
    </w:rPr>
  </w:style>
  <w:style w:type="character" w:styleId="SubtleReference">
    <w:name w:val="Subtle Reference"/>
    <w:basedOn w:val="DefaultParagraphFont"/>
    <w:uiPriority w:val="31"/>
    <w:qFormat/>
    <w:rsid w:val="00797880"/>
    <w:rPr>
      <w:smallCaps/>
      <w:color w:val="595959" w:themeColor="text1" w:themeTint="a6"/>
      <w:u w:val="none" w:color="7F7F7F"/>
    </w:rPr>
  </w:style>
  <w:style w:type="character" w:styleId="WW8Num1z6" w:customStyle="1">
    <w:name w:val="WW8Num1z6"/>
    <w:qFormat/>
    <w:rsid w:val="00797880"/>
    <w:rPr/>
  </w:style>
  <w:style w:type="character" w:styleId="PlaceholderText">
    <w:name w:val="Placeholder Text"/>
    <w:basedOn w:val="DefaultParagraphFont"/>
    <w:uiPriority w:val="99"/>
    <w:semiHidden/>
    <w:qFormat/>
    <w:rsid w:val="00797880"/>
    <w:rPr>
      <w:color w:val="808080"/>
    </w:rPr>
  </w:style>
  <w:style w:type="character" w:styleId="Pagenumber">
    <w:name w:val="page number"/>
    <w:basedOn w:val="DefaultParagraphFont"/>
    <w:uiPriority w:val="99"/>
    <w:unhideWhenUsed/>
    <w:qFormat/>
    <w:rsid w:val="005c4b00"/>
    <w:rPr/>
  </w:style>
  <w:style w:type="character" w:styleId="Saltoaindice">
    <w:name w:val="Salto a indice"/>
    <w:qFormat/>
    <w:rPr/>
  </w:style>
  <w:style w:type="character" w:styleId="Caratterinotaapidipagina">
    <w:name w:val="Caratteri nota a piè di pagina"/>
    <w:qFormat/>
    <w:rPr/>
  </w:style>
  <w:style w:type="character" w:styleId="Richiamoallanotadichiusura">
    <w:name w:val="Richiamo alla nota di chiusura"/>
    <w:rPr>
      <w:vertAlign w:val="superscript"/>
    </w:rPr>
  </w:style>
  <w:style w:type="character" w:styleId="Caratterinotadichiusura">
    <w:name w:val="Caratteri nota di chiusura"/>
    <w:qFormat/>
    <w:rPr/>
  </w:style>
  <w:style w:type="paragraph" w:styleId="Titolo">
    <w:name w:val="Titolo"/>
    <w:basedOn w:val="Normal"/>
    <w:next w:val="Corpodeltesto"/>
    <w:qFormat/>
    <w:pPr>
      <w:keepNext w:val="true"/>
      <w:spacing w:before="240" w:after="120"/>
    </w:pPr>
    <w:rPr>
      <w:rFonts w:ascii="Liberation Sans" w:hAnsi="Liberation Sans" w:eastAsia="Microsoft YaHei" w:cs="Lucida Sans"/>
      <w:sz w:val="28"/>
      <w:szCs w:val="28"/>
    </w:rPr>
  </w:style>
  <w:style w:type="paragraph" w:styleId="Corpodeltesto">
    <w:name w:val="Body Text"/>
    <w:basedOn w:val="Normal"/>
    <w:link w:val="CorpotestoCarattere"/>
    <w:uiPriority w:val="1"/>
    <w:rsid w:val="00797880"/>
    <w:pPr>
      <w:widowControl/>
      <w:spacing w:lineRule="auto" w:line="259" w:before="0" w:after="160"/>
    </w:pPr>
    <w:rPr>
      <w:rFonts w:ascii="Calibri" w:hAnsi="Calibri" w:eastAsia="" w:cs="" w:asciiTheme="minorHAnsi" w:cstheme="minorBidi" w:eastAsiaTheme="minorEastAsia" w:hAnsiTheme="minorHAnsi"/>
      <w:color w:val="auto"/>
      <w:lang w:eastAsia="it-IT"/>
    </w:rPr>
  </w:style>
  <w:style w:type="paragraph" w:styleId="Elenco">
    <w:name w:val="List"/>
    <w:basedOn w:val="Corpodeltesto"/>
    <w:pPr/>
    <w:rPr>
      <w:rFonts w:cs="Lucida Sans"/>
    </w:rPr>
  </w:style>
  <w:style w:type="paragraph" w:styleId="Didascalia">
    <w:name w:val="Caption"/>
    <w:basedOn w:val="Normal"/>
    <w:qFormat/>
    <w:pPr>
      <w:suppressLineNumbers/>
      <w:spacing w:before="120" w:after="120"/>
    </w:pPr>
    <w:rPr>
      <w:rFonts w:cs="Lucida Sans"/>
      <w:i/>
      <w:iCs/>
      <w:sz w:val="24"/>
      <w:szCs w:val="24"/>
    </w:rPr>
  </w:style>
  <w:style w:type="paragraph" w:styleId="Indice">
    <w:name w:val="Indice"/>
    <w:basedOn w:val="Normal"/>
    <w:qFormat/>
    <w:pPr>
      <w:suppressLineNumbers/>
    </w:pPr>
    <w:rPr>
      <w:rFonts w:cs="Lucida Sans"/>
      <w:lang w:val="zxx" w:eastAsia="zxx" w:bidi="zxx"/>
    </w:rPr>
  </w:style>
  <w:style w:type="paragraph" w:styleId="Titoloprincipale">
    <w:name w:val="Title"/>
    <w:basedOn w:val="Normal"/>
    <w:link w:val="TitoloCarattere"/>
    <w:uiPriority w:val="10"/>
    <w:qFormat/>
    <w:pPr>
      <w:spacing w:before="479" w:after="0"/>
      <w:ind w:left="87" w:right="4153" w:hanging="0"/>
    </w:pPr>
    <w:rPr>
      <w:b/>
      <w:bCs/>
      <w:sz w:val="64"/>
      <w:szCs w:val="64"/>
    </w:rPr>
  </w:style>
  <w:style w:type="paragraph" w:styleId="Intestazioneepidipagina">
    <w:name w:val="Intestazione e piè di pagina"/>
    <w:basedOn w:val="Normal"/>
    <w:qFormat/>
    <w:pPr/>
    <w:rPr/>
  </w:style>
  <w:style w:type="paragraph" w:styleId="Intestazione">
    <w:name w:val="Header"/>
    <w:basedOn w:val="Normal"/>
    <w:link w:val="IntestazioneCarattere"/>
    <w:uiPriority w:val="99"/>
    <w:unhideWhenUsed/>
    <w:rsid w:val="00b47ca8"/>
    <w:pPr>
      <w:tabs>
        <w:tab w:val="clear" w:pos="720"/>
        <w:tab w:val="center" w:pos="4819" w:leader="none"/>
        <w:tab w:val="right" w:pos="9638" w:leader="none"/>
      </w:tabs>
    </w:pPr>
    <w:rPr/>
  </w:style>
  <w:style w:type="paragraph" w:styleId="Pidipagina">
    <w:name w:val="Footer"/>
    <w:basedOn w:val="Normal"/>
    <w:link w:val="PidipaginaCarattere"/>
    <w:uiPriority w:val="99"/>
    <w:unhideWhenUsed/>
    <w:rsid w:val="00b47ca8"/>
    <w:pPr>
      <w:tabs>
        <w:tab w:val="clear" w:pos="720"/>
        <w:tab w:val="center" w:pos="4819" w:leader="none"/>
        <w:tab w:val="right" w:pos="9638" w:leader="none"/>
      </w:tabs>
    </w:pPr>
    <w:rPr/>
  </w:style>
  <w:style w:type="paragraph" w:styleId="NoSpacing">
    <w:name w:val="No Spacing"/>
    <w:uiPriority w:val="1"/>
    <w:qFormat/>
    <w:rsid w:val="009414e0"/>
    <w:pPr>
      <w:widowControl w:val="false"/>
      <w:bidi w:val="0"/>
      <w:spacing w:before="0" w:after="0"/>
      <w:jc w:val="left"/>
    </w:pPr>
    <w:rPr>
      <w:rFonts w:ascii="Titillium Web SemiBold" w:hAnsi="Titillium Web SemiBold" w:eastAsia="Titillium Web SemiBold" w:cs="Titillium Web SemiBold"/>
      <w:color w:val="auto"/>
      <w:kern w:val="0"/>
      <w:sz w:val="22"/>
      <w:szCs w:val="22"/>
      <w:lang w:val="it-IT" w:eastAsia="en-US" w:bidi="ar-SA"/>
    </w:rPr>
  </w:style>
  <w:style w:type="paragraph" w:styleId="CIMETROplusTitolo" w:customStyle="1">
    <w:name w:val="CI_METROplus_Titolo"/>
    <w:basedOn w:val="Normal"/>
    <w:autoRedefine/>
    <w:qFormat/>
    <w:rsid w:val="00b96915"/>
    <w:pPr/>
    <w:rPr>
      <w:rFonts w:ascii="Titillium Web" w:hAnsi="Titillium Web" w:eastAsia="Titillium Web" w:cs="Titillium Web"/>
      <w:b/>
      <w:bCs/>
      <w:color w:val="FFFFFF"/>
      <w:sz w:val="28"/>
      <w:szCs w:val="28"/>
    </w:rPr>
  </w:style>
  <w:style w:type="paragraph" w:styleId="CIMETROplusSottotitolo" w:customStyle="1">
    <w:name w:val="CI_METROplus_Sottotitolo"/>
    <w:basedOn w:val="Normal"/>
    <w:qFormat/>
    <w:rsid w:val="005819f5"/>
    <w:pPr/>
    <w:rPr>
      <w:rFonts w:ascii="Aptos SemiBold" w:hAnsi="Aptos SemiBold"/>
      <w:b/>
      <w:color w:val="FFFFFF"/>
      <w:sz w:val="24"/>
      <w:szCs w:val="20"/>
    </w:rPr>
  </w:style>
  <w:style w:type="paragraph" w:styleId="ListParagraph">
    <w:name w:val="List Paragraph"/>
    <w:basedOn w:val="Normal"/>
    <w:link w:val="ParagrafoelencoCarattere"/>
    <w:uiPriority w:val="1"/>
    <w:qFormat/>
    <w:rsid w:val="00067f03"/>
    <w:pPr>
      <w:spacing w:before="0" w:after="0"/>
      <w:ind w:left="720" w:hanging="0"/>
      <w:contextualSpacing/>
    </w:pPr>
    <w:rPr/>
  </w:style>
  <w:style w:type="paragraph" w:styleId="TableParagraph" w:customStyle="1">
    <w:name w:val="Table Paragraph"/>
    <w:basedOn w:val="Normal"/>
    <w:uiPriority w:val="1"/>
    <w:qFormat/>
    <w:rsid w:val="00797880"/>
    <w:pPr>
      <w:widowControl/>
      <w:spacing w:lineRule="auto" w:line="259" w:before="0" w:after="160"/>
    </w:pPr>
    <w:rPr>
      <w:rFonts w:ascii="Calibri" w:hAnsi="Calibri" w:eastAsia="" w:cs="" w:asciiTheme="minorHAnsi" w:cstheme="minorBidi" w:eastAsiaTheme="minorEastAsia" w:hAnsiTheme="minorHAnsi"/>
      <w:color w:val="auto"/>
      <w:lang w:eastAsia="it-IT"/>
    </w:rPr>
  </w:style>
  <w:style w:type="paragraph" w:styleId="Default" w:customStyle="1">
    <w:name w:val="Default"/>
    <w:qFormat/>
    <w:rsid w:val="00797880"/>
    <w:pPr>
      <w:widowControl/>
      <w:bidi w:val="0"/>
      <w:spacing w:lineRule="auto" w:line="259" w:before="0" w:after="160"/>
      <w:jc w:val="left"/>
    </w:pPr>
    <w:rPr>
      <w:rFonts w:ascii="Times New Roman" w:hAnsi="Times New Roman" w:eastAsia="" w:cs="Times New Roman" w:eastAsiaTheme="minorEastAsia"/>
      <w:color w:val="000000"/>
      <w:kern w:val="0"/>
      <w:sz w:val="24"/>
      <w:szCs w:val="24"/>
      <w:lang w:val="it-IT" w:eastAsia="it-IT" w:bidi="ar-SA"/>
    </w:rPr>
  </w:style>
  <w:style w:type="paragraph" w:styleId="BalloonText">
    <w:name w:val="Balloon Text"/>
    <w:basedOn w:val="Normal"/>
    <w:link w:val="TestofumettoCarattere"/>
    <w:uiPriority w:val="99"/>
    <w:semiHidden/>
    <w:unhideWhenUsed/>
    <w:qFormat/>
    <w:rsid w:val="00797880"/>
    <w:pPr>
      <w:widowControl/>
      <w:spacing w:lineRule="auto" w:line="259" w:before="0" w:after="160"/>
    </w:pPr>
    <w:rPr>
      <w:rFonts w:ascii="Calibri" w:hAnsi="Calibri" w:eastAsia="" w:cs="" w:asciiTheme="minorHAnsi" w:cstheme="minorBidi" w:eastAsiaTheme="minorEastAsia" w:hAnsiTheme="minorHAnsi"/>
      <w:color w:val="auto"/>
      <w:sz w:val="18"/>
      <w:szCs w:val="18"/>
      <w:lang w:eastAsia="it-IT"/>
    </w:rPr>
  </w:style>
  <w:style w:type="paragraph" w:styleId="Sottotitolo">
    <w:name w:val="Subtitle"/>
    <w:basedOn w:val="Normal"/>
    <w:next w:val="Normal"/>
    <w:link w:val="SottotitoloCarattere"/>
    <w:uiPriority w:val="11"/>
    <w:qFormat/>
    <w:rsid w:val="00797880"/>
    <w:pPr>
      <w:widowControl/>
      <w:spacing w:before="0" w:after="240"/>
    </w:pPr>
    <w:rPr>
      <w:rFonts w:ascii="Cambria" w:hAnsi="Cambria" w:eastAsia="" w:cs="" w:asciiTheme="majorHAnsi" w:cstheme="majorBidi" w:eastAsiaTheme="majorEastAsia" w:hAnsiTheme="majorHAnsi"/>
      <w:color w:val="4F81BD" w:themeColor="accent1"/>
      <w:sz w:val="28"/>
      <w:szCs w:val="28"/>
      <w:lang w:eastAsia="it-IT"/>
    </w:rPr>
  </w:style>
  <w:style w:type="paragraph" w:styleId="Quote">
    <w:name w:val="Quote"/>
    <w:basedOn w:val="Normal"/>
    <w:next w:val="Normal"/>
    <w:link w:val="CitazioneCarattere"/>
    <w:uiPriority w:val="29"/>
    <w:qFormat/>
    <w:rsid w:val="00797880"/>
    <w:pPr>
      <w:widowControl/>
      <w:spacing w:lineRule="auto" w:line="259" w:before="120" w:after="120"/>
      <w:ind w:left="720" w:hanging="0"/>
    </w:pPr>
    <w:rPr>
      <w:rFonts w:ascii="Calibri" w:hAnsi="Calibri" w:eastAsia="" w:cs="" w:asciiTheme="minorHAnsi" w:cstheme="minorBidi" w:eastAsiaTheme="minorEastAsia" w:hAnsiTheme="minorHAnsi"/>
      <w:color w:val="1F497D" w:themeColor="text2"/>
      <w:sz w:val="24"/>
      <w:szCs w:val="24"/>
      <w:lang w:eastAsia="it-IT"/>
    </w:rPr>
  </w:style>
  <w:style w:type="paragraph" w:styleId="IntenseQuote">
    <w:name w:val="Intense Quote"/>
    <w:basedOn w:val="Normal"/>
    <w:next w:val="Normal"/>
    <w:link w:val="CitazioneintensaCarattere"/>
    <w:uiPriority w:val="30"/>
    <w:qFormat/>
    <w:rsid w:val="00797880"/>
    <w:pPr>
      <w:widowControl/>
      <w:spacing w:beforeAutospacing="1" w:after="240"/>
      <w:ind w:left="720" w:hanging="0"/>
      <w:jc w:val="center"/>
    </w:pPr>
    <w:rPr>
      <w:rFonts w:ascii="Cambria" w:hAnsi="Cambria" w:eastAsia="" w:cs="" w:asciiTheme="majorHAnsi" w:cstheme="majorBidi" w:eastAsiaTheme="majorEastAsia" w:hAnsiTheme="majorHAnsi"/>
      <w:color w:val="1F497D" w:themeColor="text2"/>
      <w:spacing w:val="-6"/>
      <w:sz w:val="32"/>
      <w:szCs w:val="32"/>
      <w:lang w:eastAsia="it-IT"/>
    </w:rPr>
  </w:style>
  <w:style w:type="paragraph" w:styleId="Indice1">
    <w:name w:val="TOC 1"/>
    <w:basedOn w:val="Normal"/>
    <w:uiPriority w:val="39"/>
    <w:rsid w:val="00797880"/>
    <w:pPr>
      <w:widowControl/>
      <w:spacing w:lineRule="auto" w:line="259" w:before="121" w:after="160"/>
      <w:ind w:left="492" w:hanging="440"/>
    </w:pPr>
    <w:rPr>
      <w:rFonts w:ascii="Calibri" w:hAnsi="Calibri" w:eastAsia="" w:cs="" w:asciiTheme="minorHAnsi" w:cstheme="minorBidi" w:eastAsiaTheme="minorEastAsia" w:hAnsiTheme="minorHAnsi"/>
      <w:b/>
      <w:bCs/>
      <w:color w:val="auto"/>
    </w:rPr>
  </w:style>
  <w:style w:type="paragraph" w:styleId="Indice2">
    <w:name w:val="TOC 2"/>
    <w:basedOn w:val="Normal"/>
    <w:uiPriority w:val="39"/>
    <w:rsid w:val="00797880"/>
    <w:pPr>
      <w:widowControl/>
      <w:spacing w:lineRule="auto" w:line="259" w:before="1" w:after="160"/>
      <w:ind w:left="933" w:hanging="659"/>
    </w:pPr>
    <w:rPr>
      <w:rFonts w:ascii="Calibri" w:hAnsi="Calibri" w:eastAsia="" w:cs="" w:asciiTheme="minorHAnsi" w:cstheme="minorBidi" w:eastAsiaTheme="minorEastAsia" w:hAnsiTheme="minorHAnsi"/>
      <w:color w:val="auto"/>
    </w:rPr>
  </w:style>
  <w:style w:type="paragraph" w:styleId="Indice3">
    <w:name w:val="TOC 3"/>
    <w:basedOn w:val="Normal"/>
    <w:uiPriority w:val="39"/>
    <w:rsid w:val="00797880"/>
    <w:pPr>
      <w:widowControl/>
      <w:spacing w:lineRule="exact" w:line="243" w:before="0" w:after="160"/>
      <w:ind w:left="933" w:hanging="659"/>
    </w:pPr>
    <w:rPr>
      <w:rFonts w:ascii="Calibri" w:hAnsi="Calibri" w:eastAsia="" w:cs="" w:asciiTheme="minorHAnsi" w:cstheme="minorBidi" w:eastAsiaTheme="minorEastAsia" w:hAnsiTheme="minorHAnsi"/>
      <w:b/>
      <w:bCs/>
      <w:i/>
      <w:iCs/>
      <w:color w:val="auto"/>
    </w:rPr>
  </w:style>
  <w:style w:type="paragraph" w:styleId="P1" w:customStyle="1">
    <w:name w:val="p1"/>
    <w:basedOn w:val="Normal"/>
    <w:qFormat/>
    <w:rsid w:val="00797880"/>
    <w:pPr>
      <w:widowControl/>
      <w:spacing w:lineRule="auto" w:line="259" w:before="0" w:after="160"/>
    </w:pPr>
    <w:rPr>
      <w:rFonts w:ascii="Helvetica" w:hAnsi="Helvetica" w:eastAsia="Times New Roman" w:cs="Times New Roman"/>
      <w:color w:val="000000"/>
      <w:sz w:val="17"/>
      <w:szCs w:val="17"/>
      <w:lang w:eastAsia="it-IT"/>
    </w:rPr>
  </w:style>
  <w:style w:type="paragraph" w:styleId="Notaapidipagina">
    <w:name w:val="Footnote Text"/>
    <w:basedOn w:val="Normal"/>
    <w:link w:val="TestonotaapidipaginaCarattere"/>
    <w:uiPriority w:val="99"/>
    <w:semiHidden/>
    <w:unhideWhenUsed/>
    <w:rsid w:val="00797880"/>
    <w:pPr>
      <w:widowControl/>
      <w:spacing w:lineRule="auto" w:line="259" w:before="0" w:after="160"/>
    </w:pPr>
    <w:rPr>
      <w:rFonts w:ascii="Calibri" w:hAnsi="Calibri" w:eastAsia="" w:cs="" w:asciiTheme="minorHAnsi" w:cstheme="minorBidi" w:eastAsiaTheme="minorEastAsia" w:hAnsiTheme="minorHAnsi"/>
      <w:color w:val="auto"/>
    </w:rPr>
  </w:style>
  <w:style w:type="paragraph" w:styleId="Caption">
    <w:name w:val="caption"/>
    <w:basedOn w:val="Normal"/>
    <w:next w:val="Normal"/>
    <w:uiPriority w:val="35"/>
    <w:semiHidden/>
    <w:unhideWhenUsed/>
    <w:qFormat/>
    <w:rsid w:val="00797880"/>
    <w:pPr>
      <w:widowControl/>
      <w:spacing w:before="0" w:after="160"/>
    </w:pPr>
    <w:rPr>
      <w:rFonts w:ascii="Calibri" w:hAnsi="Calibri" w:eastAsia="" w:cs="" w:asciiTheme="minorHAnsi" w:cstheme="minorBidi" w:eastAsiaTheme="minorEastAsia" w:hAnsiTheme="minorHAnsi"/>
      <w:b/>
      <w:bCs/>
      <w:smallCaps/>
      <w:color w:val="1F497D" w:themeColor="text2"/>
      <w:lang w:eastAsia="it-IT"/>
    </w:rPr>
  </w:style>
  <w:style w:type="paragraph" w:styleId="Titoloindiceanalitico">
    <w:name w:val="Index Heading"/>
    <w:basedOn w:val="Titolo"/>
    <w:pPr/>
    <w:rPr/>
  </w:style>
  <w:style w:type="paragraph" w:styleId="Titoloindice">
    <w:name w:val="TOC Heading"/>
    <w:basedOn w:val="Titolo1"/>
    <w:next w:val="Normal"/>
    <w:uiPriority w:val="39"/>
    <w:unhideWhenUsed/>
    <w:qFormat/>
    <w:rsid w:val="00797880"/>
    <w:pPr>
      <w:widowControl/>
      <w:spacing w:before="400" w:after="40"/>
      <w:outlineLvl w:val="9"/>
    </w:pPr>
    <w:rPr>
      <w:color w:val="244061" w:themeColor="accent1" w:themeShade="80"/>
      <w:sz w:val="36"/>
      <w:szCs w:val="36"/>
      <w:lang w:eastAsia="it-IT"/>
    </w:rPr>
  </w:style>
  <w:style w:type="paragraph" w:styleId="Contenutocornice">
    <w:name w:val="Contenuto cornice"/>
    <w:basedOn w:val="Normal"/>
    <w:qFormat/>
    <w:pPr/>
    <w:rPr/>
  </w:style>
  <w:style w:type="numbering" w:styleId="NoList" w:default="1">
    <w:name w:val="No List"/>
    <w:uiPriority w:val="99"/>
    <w:semiHidden/>
    <w:unhideWhenUsed/>
    <w:qFormat/>
  </w:style>
  <w:style w:type="table" w:default="1" w:styleId="Tabellanormale">
    <w:name w:val="Normal Table"/>
    <w:uiPriority w:val="99"/>
    <w:semiHidden/>
    <w:unhideWhenUsed/>
    <w:tblPr>
      <w:tblCellMar>
        <w:top w:w="0" w:type="dxa"/>
        <w:left w:w="108" w:type="dxa"/>
        <w:bottom w:w="0" w:type="dxa"/>
        <w:right w:w="108" w:type="dxa"/>
      </w:tblCellMar>
    </w:tblPr>
  </w:style>
  <w:style w:type="table" w:customStyle="1" w:styleId="TableNormal">
    <w:name w:val="Table Normal"/>
    <w:uiPriority w:val="2"/>
    <w:unhideWhenUsed/>
    <w:qFormat/>
    <w:tblPr>
      <w:tblCellMar>
        <w:top w:w="0" w:type="dxa"/>
        <w:left w:w="0" w:type="dxa"/>
        <w:bottom w:w="0" w:type="dxa"/>
        <w:right w:w="0" w:type="dxa"/>
      </w:tblCellMar>
    </w:tbl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hyperlink" Target="mailto:protocollo@pec.reggiocal.it" TargetMode="External"/><Relationship Id="rId3" Type="http://schemas.openxmlformats.org/officeDocument/2006/relationships/hyperlink" Target="mailto:sindaco@reggiocal.it" TargetMode="External"/><Relationship Id="rId4" Type="http://schemas.openxmlformats.org/officeDocument/2006/relationships/hyperlink" Target="mailto:dpo@reggiocal.it" TargetMode="External"/><Relationship Id="rId5" Type="http://schemas.openxmlformats.org/officeDocument/2006/relationships/hyperlink" Target="http://ec.europa.eu/social/main.jsp?catId=325&amp;intPageId=3587&amp;langId.it" TargetMode="External"/><Relationship Id="rId6" Type="http://schemas.openxmlformats.org/officeDocument/2006/relationships/hyperlink" Target="mailto:t.cotronei@reggiocal.it" TargetMode="External"/><Relationship Id="rId7" Type="http://schemas.openxmlformats.org/officeDocument/2006/relationships/hyperlink" Target="mailto:dotelavoro@reggiocal.it" TargetMode="External"/><Relationship Id="rId8" Type="http://schemas.openxmlformats.org/officeDocument/2006/relationships/header" Target="header1.xml"/><Relationship Id="rId9" Type="http://schemas.openxmlformats.org/officeDocument/2006/relationships/header" Target="header2.xml"/><Relationship Id="rId10" Type="http://schemas.openxmlformats.org/officeDocument/2006/relationships/footer" Target="footer1.xml"/><Relationship Id="rId11" Type="http://schemas.openxmlformats.org/officeDocument/2006/relationships/footer" Target="footer2.xml"/><Relationship Id="rId12" Type="http://schemas.openxmlformats.org/officeDocument/2006/relationships/footnotes" Target="footnotes.xml"/><Relationship Id="rId13" Type="http://schemas.openxmlformats.org/officeDocument/2006/relationships/numbering" Target="numbering.xml"/><Relationship Id="rId14" Type="http://schemas.openxmlformats.org/officeDocument/2006/relationships/fontTable" Target="fontTable.xml"/><Relationship Id="rId15" Type="http://schemas.openxmlformats.org/officeDocument/2006/relationships/settings" Target="settings.xml"/><Relationship Id="rId16" Type="http://schemas.openxmlformats.org/officeDocument/2006/relationships/theme" Target="theme/theme1.xml"/><Relationship Id="rId17" Type="http://schemas.openxmlformats.org/officeDocument/2006/relationships/customXml" Target="../customXml/item1.xml"/><Relationship Id="rId18" Type="http://schemas.openxmlformats.org/officeDocument/2006/relationships/customXml" Target="../customXml/item2.xml"/><Relationship Id="rId19" Type="http://schemas.openxmlformats.org/officeDocument/2006/relationships/customXml" Target="../customXml/item3.xml"/><Relationship Id="rId20" Type="http://schemas.openxmlformats.org/officeDocument/2006/relationships/customXml" Target="../customXml/item4.xml"/>
</Relationships>
</file>

<file path=word/_rels/footer1.xml.rels><?xml version="1.0" encoding="UTF-8"?>
<Relationships xmlns="http://schemas.openxmlformats.org/package/2006/relationships"><Relationship Id="rId1" Type="http://schemas.openxmlformats.org/officeDocument/2006/relationships/image" Target="media/image3.png"/>
</Relationships>
</file>

<file path=word/_rels/footer2.xml.rels><?xml version="1.0" encoding="UTF-8"?>
<Relationships xmlns="http://schemas.openxmlformats.org/package/2006/relationships"><Relationship Id="rId1" Type="http://schemas.openxmlformats.org/officeDocument/2006/relationships/image" Target="media/image4.wmf"/>
</Relationships>
</file>

<file path=word/_rels/header1.xml.rels><?xml version="1.0" encoding="UTF-8"?>
<Relationships xmlns="http://schemas.openxmlformats.org/package/2006/relationships"><Relationship Id="rId1" Type="http://schemas.openxmlformats.org/officeDocument/2006/relationships/image" Target="media/image1.png"/>
</Relationships>
</file>

<file path=word/_rels/header2.xml.rels><?xml version="1.0" encoding="UTF-8"?>
<Relationships xmlns="http://schemas.openxmlformats.org/package/2006/relationships"><Relationship Id="rId1" Type="http://schemas.openxmlformats.org/officeDocument/2006/relationships/image" Target="media/image2.jpeg"/><Relationship Id="rId2" Type="http://schemas.openxmlformats.org/officeDocument/2006/relationships/image" Target="media/image1.png"/>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Relationships xmlns="http://schemas.openxmlformats.org/package/2006/relationships"><Relationship Id="rId1" Type="http://schemas.openxmlformats.org/officeDocument/2006/relationships/customXmlProps" Target="itemProps1.xml"/>
</Relationships>
</file>

<file path=customXml/_rels/item2.xml.rels><?xml version="1.0" encoding="UTF-8"?>
<Relationships xmlns="http://schemas.openxmlformats.org/package/2006/relationships"><Relationship Id="rId1" Type="http://schemas.openxmlformats.org/officeDocument/2006/relationships/customXmlProps" Target="itemProps2.xml"/>
</Relationships>
</file>

<file path=customXml/_rels/item3.xml.rels><?xml version="1.0" encoding="UTF-8"?>
<Relationships xmlns="http://schemas.openxmlformats.org/package/2006/relationships"><Relationship Id="rId1" Type="http://schemas.openxmlformats.org/officeDocument/2006/relationships/customXmlProps" Target="itemProps3.xml"/>
</Relationships>
</file>

<file path=customXml/_rels/item4.xml.rels><?xml version="1.0" encoding="UTF-8"?>
<Relationships xmlns="http://schemas.openxmlformats.org/package/2006/relationships"><Relationship Id="rId1" Type="http://schemas.openxmlformats.org/officeDocument/2006/relationships/customXmlProps" Target="itemProps4.xml"/>
</Relationships>
</file>

<file path=customXml/item1.xml><?xml version="1.0" encoding="utf-8"?>
<p:properties xmlns:p="http://schemas.microsoft.com/office/2006/metadata/properties" xmlns:xsi="http://www.w3.org/2001/XMLSchema-instance" xmlns:pc="http://schemas.microsoft.com/office/infopath/2007/PartnerControls">
  <documentManagement>
    <Approver xmlns="b8e9ecd3-49dc-4355-a3de-944263e3bf65" xsi:nil="true"/>
    <lcf76f155ced4ddcb4097134ff3c332f xmlns="b8e9ecd3-49dc-4355-a3de-944263e3bf65">
      <Terms xmlns="http://schemas.microsoft.com/office/infopath/2007/PartnerControls"/>
    </lcf76f155ced4ddcb4097134ff3c332f>
    <TaxCatchAll xmlns="3b0d13af-778a-4999-a53a-9a4892815d2e" xsi:nil="true"/>
    <Statoconsenso xmlns="b8e9ecd3-49dc-4355-a3de-944263e3bf65"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o" ma:contentTypeID="0x010100E29FEADFC340DA40B2139D4BBB1A48D7" ma:contentTypeVersion="18" ma:contentTypeDescription="Creare un nuovo documento." ma:contentTypeScope="" ma:versionID="f9e8101df0e77aa45decea8f1ec7f419">
  <xsd:schema xmlns:xsd="http://www.w3.org/2001/XMLSchema" xmlns:xs="http://www.w3.org/2001/XMLSchema" xmlns:p="http://schemas.microsoft.com/office/2006/metadata/properties" xmlns:ns2="3b0d13af-778a-4999-a53a-9a4892815d2e" xmlns:ns3="b8e9ecd3-49dc-4355-a3de-944263e3bf65" targetNamespace="http://schemas.microsoft.com/office/2006/metadata/properties" ma:root="true" ma:fieldsID="3b5e4f4ffa638bfc7dca625d81b1509d" ns2:_="" ns3:_="">
    <xsd:import namespace="3b0d13af-778a-4999-a53a-9a4892815d2e"/>
    <xsd:import namespace="b8e9ecd3-49dc-4355-a3de-944263e3bf65"/>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lcf76f155ced4ddcb4097134ff3c332f" minOccurs="0"/>
                <xsd:element ref="ns2:TaxCatchAll" minOccurs="0"/>
                <xsd:element ref="ns3:MediaServiceDateTaken" minOccurs="0"/>
                <xsd:element ref="ns3:MediaServiceObjectDetectorVersions" minOccurs="0"/>
                <xsd:element ref="ns3:MediaServiceOCR" minOccurs="0"/>
                <xsd:element ref="ns3:MediaServiceGenerationTime" minOccurs="0"/>
                <xsd:element ref="ns3:MediaServiceEventHashCode" minOccurs="0"/>
                <xsd:element ref="ns3:MediaLengthInSeconds" minOccurs="0"/>
                <xsd:element ref="ns3:MediaServiceSearchProperties" minOccurs="0"/>
                <xsd:element ref="ns3:MediaServiceLocation" minOccurs="0"/>
                <xsd:element ref="ns3:Approver" minOccurs="0"/>
                <xsd:element ref="ns3:Statoconsenso"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b0d13af-778a-4999-a53a-9a4892815d2e" elementFormDefault="qualified">
    <xsd:import namespace="http://schemas.microsoft.com/office/2006/documentManagement/types"/>
    <xsd:import namespace="http://schemas.microsoft.com/office/infopath/2007/PartnerControls"/>
    <xsd:element name="SharedWithUsers" ma:index="8" nillable="true" ma:displayName="Condivis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Condiviso con dettagli" ma:internalName="SharedWithDetails" ma:readOnly="true">
      <xsd:simpleType>
        <xsd:restriction base="dms:Note">
          <xsd:maxLength value="255"/>
        </xsd:restriction>
      </xsd:simpleType>
    </xsd:element>
    <xsd:element name="TaxCatchAll" ma:index="14" nillable="true" ma:displayName="Taxonomy Catch All Column" ma:hidden="true" ma:list="{65b5e922-2ced-489b-b0e7-19faa9dbb0ee}" ma:internalName="TaxCatchAll" ma:showField="CatchAllData" ma:web="3b0d13af-778a-4999-a53a-9a4892815d2e">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b8e9ecd3-49dc-4355-a3de-944263e3bf65"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Tag immagine" ma:readOnly="false" ma:fieldId="{5cf76f15-5ced-4ddc-b409-7134ff3c332f}" ma:taxonomyMulti="true" ma:sspId="5cef147c-0240-47bf-9996-b7454b3232da"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bjectDetectorVersions" ma:index="16" nillable="true" ma:displayName="MediaServiceObjectDetectorVersions" ma:hidden="true" ma:indexed="true" ma:internalName="MediaServiceObjectDetectorVersions"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Location" ma:index="22" nillable="true" ma:displayName="Location" ma:description="" ma:indexed="true" ma:internalName="MediaServiceLocation" ma:readOnly="true">
      <xsd:simpleType>
        <xsd:restriction base="dms:Text"/>
      </xsd:simpleType>
    </xsd:element>
    <xsd:element name="Approver" ma:index="23" nillable="true" ma:displayName="Approver" ma:format="Dropdown" ma:internalName="Approver">
      <xsd:simpleType>
        <xsd:restriction base="dms:Text">
          <xsd:maxLength value="255"/>
        </xsd:restriction>
      </xsd:simpleType>
    </xsd:element>
    <xsd:element name="Statoconsenso" ma:index="24" nillable="true" ma:displayName="Stato consenso" ma:format="Dropdown" ma:internalName="Statoconsenso">
      <xsd:simpleType>
        <xsd:restriction base="dms:Text">
          <xsd:maxLength value="255"/>
        </xsd:restriction>
      </xsd:simpleType>
    </xsd:element>
    <xsd:element name="MediaServiceBillingMetadata" ma:index="25"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i contenuto"/>
        <xsd:element ref="dc:title" minOccurs="0" maxOccurs="1" ma:index="4" ma:displayName="Tito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9F52A9A-6C97-4357-BF22-1D0773D591D3}">
  <ds:schemaRefs>
    <ds:schemaRef ds:uri="http://schemas.microsoft.com/office/2006/metadata/properties"/>
    <ds:schemaRef ds:uri="http://schemas.microsoft.com/office/infopath/2007/PartnerControls"/>
    <ds:schemaRef ds:uri="b8e9ecd3-49dc-4355-a3de-944263e3bf65"/>
    <ds:schemaRef ds:uri="3b0d13af-778a-4999-a53a-9a4892815d2e"/>
  </ds:schemaRefs>
</ds:datastoreItem>
</file>

<file path=customXml/itemProps2.xml><?xml version="1.0" encoding="utf-8"?>
<ds:datastoreItem xmlns:ds="http://schemas.openxmlformats.org/officeDocument/2006/customXml" ds:itemID="{6CD34266-FC48-49BA-BD19-6054412AB8CF}">
  <ds:schemaRefs>
    <ds:schemaRef ds:uri="http://schemas.openxmlformats.org/officeDocument/2006/bibliography"/>
  </ds:schemaRefs>
</ds:datastoreItem>
</file>

<file path=customXml/itemProps3.xml><?xml version="1.0" encoding="utf-8"?>
<ds:datastoreItem xmlns:ds="http://schemas.openxmlformats.org/officeDocument/2006/customXml" ds:itemID="{AFB0D8F3-C68E-4A2D-98FF-AA4C456BDA4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b0d13af-778a-4999-a53a-9a4892815d2e"/>
    <ds:schemaRef ds:uri="b8e9ecd3-49dc-4355-a3de-944263e3bf6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9C8E423-FBA8-475C-B177-223F978417CE}">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1560</TotalTime>
  <Application>LibreOffice/7.3.2.2$Windows_X86_64 LibreOffice_project/49f2b1bff42cfccbd8f788c8dc32c1c309559be0</Application>
  <AppVersion>15.0000</AppVersion>
  <Pages>29</Pages>
  <Words>12423</Words>
  <Characters>73750</Characters>
  <CharactersWithSpaces>85393</CharactersWithSpaces>
  <Paragraphs>526</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2026-03-09T15:04:00Z</dcterms:created>
  <dc:creator>dirigente</dc:creator>
  <dc:description/>
  <dc:language>it-IT</dc:language>
  <cp:lastModifiedBy>Roberto Arcudi</cp:lastModifiedBy>
  <cp:lastPrinted>2025-11-28T11:37:00Z</cp:lastPrinted>
  <dcterms:modified xsi:type="dcterms:W3CDTF">2026-03-11T11:48:00Z</dcterms:modified>
  <cp:revision>8</cp:revision>
  <dc:subject/>
  <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0x010100E29FEADFC340DA40B2139D4BBB1A48D7</vt:lpwstr>
  </property>
  <property fmtid="{D5CDD505-2E9C-101B-9397-08002B2CF9AE}" pid="3" name="Created">
    <vt:filetime>2025-10-15T00:00:00Z</vt:filetime>
  </property>
  <property fmtid="{D5CDD505-2E9C-101B-9397-08002B2CF9AE}" pid="4" name="LastSaved">
    <vt:filetime>2025-10-15T00:00:00Z</vt:filetime>
  </property>
  <property fmtid="{D5CDD505-2E9C-101B-9397-08002B2CF9AE}" pid="5" name="MSIP_Label_5097a60d-5525-435b-8989-8eb48ac0c8cd_ActionId">
    <vt:lpwstr>8b4d8ddb-1298-4c63-ab7f-7e99daad0a56</vt:lpwstr>
  </property>
  <property fmtid="{D5CDD505-2E9C-101B-9397-08002B2CF9AE}" pid="6" name="MSIP_Label_5097a60d-5525-435b-8989-8eb48ac0c8cd_ContentBits">
    <vt:lpwstr>0</vt:lpwstr>
  </property>
  <property fmtid="{D5CDD505-2E9C-101B-9397-08002B2CF9AE}" pid="7" name="MSIP_Label_5097a60d-5525-435b-8989-8eb48ac0c8cd_Enabled">
    <vt:lpwstr>true</vt:lpwstr>
  </property>
  <property fmtid="{D5CDD505-2E9C-101B-9397-08002B2CF9AE}" pid="8" name="MSIP_Label_5097a60d-5525-435b-8989-8eb48ac0c8cd_Method">
    <vt:lpwstr>Standard</vt:lpwstr>
  </property>
  <property fmtid="{D5CDD505-2E9C-101B-9397-08002B2CF9AE}" pid="9" name="MSIP_Label_5097a60d-5525-435b-8989-8eb48ac0c8cd_Name">
    <vt:lpwstr>defa4170-0d19-0005-0004-bc88714345d2</vt:lpwstr>
  </property>
  <property fmtid="{D5CDD505-2E9C-101B-9397-08002B2CF9AE}" pid="10" name="MSIP_Label_5097a60d-5525-435b-8989-8eb48ac0c8cd_SetDate">
    <vt:lpwstr>2025-10-16T14:37:43Z</vt:lpwstr>
  </property>
  <property fmtid="{D5CDD505-2E9C-101B-9397-08002B2CF9AE}" pid="11" name="MSIP_Label_5097a60d-5525-435b-8989-8eb48ac0c8cd_SiteId">
    <vt:lpwstr>3e90938b-8b27-4762-b4e8-006a8127a119</vt:lpwstr>
  </property>
  <property fmtid="{D5CDD505-2E9C-101B-9397-08002B2CF9AE}" pid="12" name="MSIP_Label_5097a60d-5525-435b-8989-8eb48ac0c8cd_Tag">
    <vt:lpwstr>10, 3, 0, 1</vt:lpwstr>
  </property>
</Properties>
</file>